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F566" w14:textId="508744FA" w:rsidR="00F908D1" w:rsidRPr="001E1F44" w:rsidRDefault="001835D5" w:rsidP="00F908D1">
      <w:pPr>
        <w:spacing w:before="120" w:after="0"/>
        <w:jc w:val="right"/>
        <w:rPr>
          <w:rFonts w:asciiTheme="minorHAnsi" w:hAnsiTheme="minorHAnsi" w:cstheme="minorHAnsi"/>
          <w:sz w:val="24"/>
          <w:szCs w:val="24"/>
        </w:rPr>
      </w:pPr>
      <w:r>
        <w:rPr>
          <w:rFonts w:asciiTheme="minorHAnsi" w:hAnsiTheme="minorHAnsi" w:cstheme="minorHAnsi"/>
          <w:sz w:val="24"/>
          <w:szCs w:val="24"/>
        </w:rPr>
        <w:t>……………….</w:t>
      </w:r>
      <w:r w:rsidR="00A37BAC">
        <w:rPr>
          <w:rFonts w:asciiTheme="minorHAnsi" w:hAnsiTheme="minorHAnsi" w:cstheme="minorHAnsi"/>
          <w:sz w:val="24"/>
          <w:szCs w:val="24"/>
        </w:rPr>
        <w:t xml:space="preserve">, dnia </w:t>
      </w:r>
      <w:r>
        <w:rPr>
          <w:rFonts w:asciiTheme="minorHAnsi" w:hAnsiTheme="minorHAnsi" w:cstheme="minorHAnsi"/>
          <w:sz w:val="24"/>
          <w:szCs w:val="24"/>
        </w:rPr>
        <w:t>………………..</w:t>
      </w:r>
      <w:r w:rsidR="00F908D1" w:rsidRPr="001E1F44">
        <w:rPr>
          <w:rFonts w:asciiTheme="minorHAnsi" w:hAnsiTheme="minorHAnsi" w:cstheme="minorHAnsi"/>
          <w:sz w:val="24"/>
          <w:szCs w:val="24"/>
        </w:rPr>
        <w:t xml:space="preserve"> roku</w:t>
      </w:r>
    </w:p>
    <w:p w14:paraId="5A811B0D" w14:textId="77777777" w:rsidR="00F908D1" w:rsidRPr="001E1F44" w:rsidRDefault="00F908D1" w:rsidP="00F908D1">
      <w:pPr>
        <w:spacing w:before="120" w:after="0"/>
        <w:rPr>
          <w:rFonts w:asciiTheme="minorHAnsi" w:hAnsiTheme="minorHAnsi" w:cstheme="minorHAnsi"/>
          <w:i/>
          <w:sz w:val="24"/>
          <w:szCs w:val="24"/>
        </w:rPr>
      </w:pPr>
    </w:p>
    <w:p w14:paraId="4B4FDF25" w14:textId="19642780" w:rsidR="00F908D1" w:rsidRDefault="001835D5" w:rsidP="00F908D1">
      <w:pPr>
        <w:spacing w:before="120" w:after="0"/>
        <w:ind w:left="2832" w:firstLine="1563"/>
        <w:rPr>
          <w:rFonts w:asciiTheme="minorHAnsi" w:hAnsiTheme="minorHAnsi" w:cstheme="minorHAnsi"/>
          <w:i/>
          <w:sz w:val="24"/>
          <w:szCs w:val="24"/>
        </w:rPr>
      </w:pPr>
      <w:r>
        <w:rPr>
          <w:rFonts w:asciiTheme="minorHAnsi" w:hAnsiTheme="minorHAnsi" w:cstheme="minorHAnsi"/>
          <w:i/>
          <w:sz w:val="24"/>
          <w:szCs w:val="24"/>
        </w:rPr>
        <w:t>……………………</w:t>
      </w:r>
    </w:p>
    <w:p w14:paraId="2DB400CD" w14:textId="31E441CB" w:rsidR="001835D5" w:rsidRPr="001E1F44" w:rsidRDefault="001835D5" w:rsidP="00F908D1">
      <w:pPr>
        <w:spacing w:before="120" w:after="0"/>
        <w:ind w:left="2832" w:firstLine="1563"/>
        <w:rPr>
          <w:rFonts w:asciiTheme="minorHAnsi" w:hAnsiTheme="minorHAnsi" w:cstheme="minorHAnsi"/>
          <w:i/>
          <w:sz w:val="24"/>
          <w:szCs w:val="24"/>
        </w:rPr>
      </w:pPr>
      <w:r>
        <w:rPr>
          <w:rFonts w:asciiTheme="minorHAnsi" w:hAnsiTheme="minorHAnsi" w:cstheme="minorHAnsi"/>
          <w:i/>
          <w:sz w:val="24"/>
          <w:szCs w:val="24"/>
        </w:rPr>
        <w:t xml:space="preserve">(dane adresowe Zamawiającego) </w:t>
      </w:r>
    </w:p>
    <w:p w14:paraId="52307A1D" w14:textId="77777777" w:rsidR="00F908D1" w:rsidRPr="001E1F44" w:rsidRDefault="00F908D1" w:rsidP="00F908D1">
      <w:pPr>
        <w:spacing w:before="120" w:after="0"/>
        <w:rPr>
          <w:rFonts w:asciiTheme="minorHAnsi" w:hAnsiTheme="minorHAnsi" w:cstheme="minorHAnsi"/>
          <w:i/>
          <w:sz w:val="24"/>
          <w:szCs w:val="24"/>
        </w:rPr>
      </w:pPr>
    </w:p>
    <w:p w14:paraId="56020762" w14:textId="77777777" w:rsidR="00A37BAC" w:rsidRPr="001E1F44" w:rsidRDefault="00A37BAC" w:rsidP="00A37BAC">
      <w:pPr>
        <w:spacing w:before="120" w:after="0"/>
        <w:rPr>
          <w:rFonts w:asciiTheme="minorHAnsi" w:hAnsiTheme="minorHAnsi" w:cstheme="minorHAnsi"/>
          <w:i/>
          <w:sz w:val="24"/>
          <w:szCs w:val="24"/>
        </w:rPr>
      </w:pPr>
    </w:p>
    <w:p w14:paraId="26E21544" w14:textId="77777777" w:rsidR="00A37BAC" w:rsidRPr="001E1F44" w:rsidRDefault="00A37BAC" w:rsidP="00BA2539">
      <w:pPr>
        <w:spacing w:before="120" w:after="0" w:line="360" w:lineRule="auto"/>
        <w:ind w:firstLine="708"/>
        <w:jc w:val="both"/>
        <w:rPr>
          <w:rFonts w:asciiTheme="minorHAnsi" w:hAnsiTheme="minorHAnsi" w:cstheme="minorHAnsi"/>
          <w:i/>
          <w:sz w:val="24"/>
          <w:szCs w:val="24"/>
        </w:rPr>
      </w:pPr>
      <w:r w:rsidRPr="001E1F44">
        <w:rPr>
          <w:rFonts w:asciiTheme="minorHAnsi" w:hAnsiTheme="minorHAnsi" w:cstheme="minorHAnsi"/>
          <w:i/>
          <w:sz w:val="24"/>
          <w:szCs w:val="24"/>
        </w:rPr>
        <w:t>Szanowni Państwo,</w:t>
      </w:r>
    </w:p>
    <w:p w14:paraId="5610C8F7" w14:textId="77777777" w:rsidR="00BA2539" w:rsidRDefault="00BA2539" w:rsidP="00A37BAC">
      <w:pPr>
        <w:spacing w:after="70" w:line="360" w:lineRule="auto"/>
        <w:ind w:firstLine="708"/>
        <w:jc w:val="both"/>
        <w:rPr>
          <w:rFonts w:asciiTheme="minorHAnsi" w:hAnsiTheme="minorHAnsi" w:cstheme="minorHAnsi"/>
          <w:sz w:val="24"/>
          <w:szCs w:val="24"/>
        </w:rPr>
      </w:pPr>
    </w:p>
    <w:p w14:paraId="4A56A34D" w14:textId="1D3428FF" w:rsidR="00A37BAC" w:rsidRPr="001E1F44" w:rsidRDefault="00BA2539" w:rsidP="00A37BAC">
      <w:pPr>
        <w:spacing w:after="70" w:line="360" w:lineRule="auto"/>
        <w:ind w:firstLine="708"/>
        <w:jc w:val="both"/>
        <w:rPr>
          <w:rFonts w:asciiTheme="minorHAnsi" w:hAnsiTheme="minorHAnsi" w:cstheme="minorHAnsi"/>
          <w:sz w:val="24"/>
          <w:szCs w:val="24"/>
        </w:rPr>
      </w:pPr>
      <w:r>
        <w:rPr>
          <w:rFonts w:asciiTheme="minorHAnsi" w:hAnsiTheme="minorHAnsi" w:cstheme="minorHAnsi"/>
          <w:sz w:val="24"/>
          <w:szCs w:val="24"/>
        </w:rPr>
        <w:t>u</w:t>
      </w:r>
      <w:r w:rsidR="00A37BAC" w:rsidRPr="001E1F44">
        <w:rPr>
          <w:rFonts w:asciiTheme="minorHAnsi" w:hAnsiTheme="minorHAnsi" w:cstheme="minorHAnsi"/>
          <w:sz w:val="24"/>
          <w:szCs w:val="24"/>
        </w:rPr>
        <w:t xml:space="preserve">przejmie informujemy, iż dokonaliśmy analizy świadczonej na Państwa </w:t>
      </w:r>
      <w:r w:rsidR="00955760" w:rsidRPr="001E1F44">
        <w:rPr>
          <w:rFonts w:asciiTheme="minorHAnsi" w:hAnsiTheme="minorHAnsi" w:cstheme="minorHAnsi"/>
          <w:sz w:val="24"/>
          <w:szCs w:val="24"/>
        </w:rPr>
        <w:t>rzecz</w:t>
      </w:r>
      <w:r w:rsidR="00955760">
        <w:rPr>
          <w:rFonts w:asciiTheme="minorHAnsi" w:hAnsiTheme="minorHAnsi" w:cstheme="minorHAnsi"/>
          <w:sz w:val="24"/>
          <w:szCs w:val="24"/>
        </w:rPr>
        <w:t xml:space="preserve"> </w:t>
      </w:r>
      <w:r>
        <w:rPr>
          <w:rFonts w:asciiTheme="minorHAnsi" w:hAnsiTheme="minorHAnsi" w:cstheme="minorHAnsi"/>
          <w:sz w:val="24"/>
          <w:szCs w:val="24"/>
        </w:rPr>
        <w:t>umowy nr …….. z dnia …………….</w:t>
      </w:r>
      <w:r w:rsidR="006714CC">
        <w:rPr>
          <w:rFonts w:asciiTheme="minorHAnsi" w:hAnsiTheme="minorHAnsi" w:cstheme="minorHAnsi"/>
          <w:sz w:val="24"/>
          <w:szCs w:val="24"/>
        </w:rPr>
        <w:t>w zakresie wzrostu kosztów realizacji.</w:t>
      </w:r>
      <w:r w:rsidR="00A37BAC" w:rsidRPr="001E1F44">
        <w:rPr>
          <w:rFonts w:asciiTheme="minorHAnsi" w:hAnsiTheme="minorHAnsi" w:cstheme="minorHAnsi"/>
          <w:sz w:val="24"/>
          <w:szCs w:val="24"/>
        </w:rPr>
        <w:t xml:space="preserve"> Wyniki </w:t>
      </w:r>
      <w:r w:rsidR="00487629">
        <w:rPr>
          <w:rFonts w:asciiTheme="minorHAnsi" w:hAnsiTheme="minorHAnsi" w:cstheme="minorHAnsi"/>
          <w:sz w:val="24"/>
          <w:szCs w:val="24"/>
        </w:rPr>
        <w:t xml:space="preserve">ww. </w:t>
      </w:r>
      <w:r w:rsidR="00A37BAC" w:rsidRPr="001E1F44">
        <w:rPr>
          <w:rFonts w:asciiTheme="minorHAnsi" w:hAnsiTheme="minorHAnsi" w:cstheme="minorHAnsi"/>
          <w:sz w:val="24"/>
          <w:szCs w:val="24"/>
        </w:rPr>
        <w:t>analiz wskazują, że dalsz</w:t>
      </w:r>
      <w:r w:rsidR="006714CC">
        <w:rPr>
          <w:rFonts w:asciiTheme="minorHAnsi" w:hAnsiTheme="minorHAnsi" w:cstheme="minorHAnsi"/>
          <w:sz w:val="24"/>
          <w:szCs w:val="24"/>
        </w:rPr>
        <w:t>a</w:t>
      </w:r>
      <w:r w:rsidR="00A37BAC" w:rsidRPr="001E1F44">
        <w:rPr>
          <w:rFonts w:asciiTheme="minorHAnsi" w:hAnsiTheme="minorHAnsi" w:cstheme="minorHAnsi"/>
          <w:sz w:val="24"/>
          <w:szCs w:val="24"/>
        </w:rPr>
        <w:t xml:space="preserve"> </w:t>
      </w:r>
      <w:r w:rsidR="006714CC">
        <w:rPr>
          <w:rFonts w:asciiTheme="minorHAnsi" w:hAnsiTheme="minorHAnsi" w:cstheme="minorHAnsi"/>
          <w:sz w:val="24"/>
          <w:szCs w:val="24"/>
        </w:rPr>
        <w:t xml:space="preserve">realizacja </w:t>
      </w:r>
      <w:r w:rsidR="002179C9">
        <w:rPr>
          <w:rFonts w:asciiTheme="minorHAnsi" w:hAnsiTheme="minorHAnsi" w:cstheme="minorHAnsi"/>
          <w:sz w:val="24"/>
          <w:szCs w:val="24"/>
        </w:rPr>
        <w:t xml:space="preserve">umowy w roku 2024 </w:t>
      </w:r>
      <w:r w:rsidR="00A37BAC" w:rsidRPr="001E1F44">
        <w:rPr>
          <w:rFonts w:asciiTheme="minorHAnsi" w:hAnsiTheme="minorHAnsi" w:cstheme="minorHAnsi"/>
          <w:sz w:val="24"/>
          <w:szCs w:val="24"/>
        </w:rPr>
        <w:t xml:space="preserve">na dotychczasowych warunkach nie </w:t>
      </w:r>
      <w:r>
        <w:rPr>
          <w:rFonts w:asciiTheme="minorHAnsi" w:hAnsiTheme="minorHAnsi" w:cstheme="minorHAnsi"/>
          <w:sz w:val="24"/>
          <w:szCs w:val="24"/>
        </w:rPr>
        <w:t>będzie</w:t>
      </w:r>
      <w:r w:rsidR="00A37BAC" w:rsidRPr="001E1F44">
        <w:rPr>
          <w:rFonts w:asciiTheme="minorHAnsi" w:hAnsiTheme="minorHAnsi" w:cstheme="minorHAnsi"/>
          <w:sz w:val="24"/>
          <w:szCs w:val="24"/>
        </w:rPr>
        <w:t xml:space="preserve"> możliw</w:t>
      </w:r>
      <w:r w:rsidR="002179C9">
        <w:rPr>
          <w:rFonts w:asciiTheme="minorHAnsi" w:hAnsiTheme="minorHAnsi" w:cstheme="minorHAnsi"/>
          <w:sz w:val="24"/>
          <w:szCs w:val="24"/>
        </w:rPr>
        <w:t>a</w:t>
      </w:r>
      <w:r w:rsidR="00A37BAC" w:rsidRPr="001E1F44">
        <w:rPr>
          <w:rFonts w:asciiTheme="minorHAnsi" w:hAnsiTheme="minorHAnsi" w:cstheme="minorHAnsi"/>
          <w:sz w:val="24"/>
          <w:szCs w:val="24"/>
        </w:rPr>
        <w:t>.</w:t>
      </w:r>
    </w:p>
    <w:p w14:paraId="7364C246" w14:textId="4FBA88F1" w:rsidR="00C012CA" w:rsidRDefault="00C012CA" w:rsidP="00A37BAC">
      <w:pPr>
        <w:autoSpaceDE w:val="0"/>
        <w:autoSpaceDN w:val="0"/>
        <w:adjustRightInd w:val="0"/>
        <w:spacing w:after="0" w:line="360" w:lineRule="auto"/>
        <w:ind w:firstLine="708"/>
        <w:jc w:val="both"/>
        <w:rPr>
          <w:rFonts w:asciiTheme="minorHAnsi" w:hAnsiTheme="minorHAnsi" w:cstheme="minorHAnsi"/>
          <w:sz w:val="24"/>
          <w:szCs w:val="24"/>
        </w:rPr>
      </w:pPr>
      <w:r>
        <w:rPr>
          <w:rFonts w:asciiTheme="minorHAnsi" w:hAnsiTheme="minorHAnsi" w:cstheme="minorHAnsi"/>
          <w:sz w:val="24"/>
          <w:szCs w:val="24"/>
        </w:rPr>
        <w:t>Rok 2023 to w polskiej gospodarce wystąpienie wielu nagłych zjawisk wpływających na wzrost kosztów realizacji łączącej nas umowy</w:t>
      </w:r>
      <w:r w:rsidR="00900239">
        <w:rPr>
          <w:rFonts w:asciiTheme="minorHAnsi" w:hAnsiTheme="minorHAnsi" w:cstheme="minorHAnsi"/>
          <w:sz w:val="24"/>
          <w:szCs w:val="24"/>
        </w:rPr>
        <w:t xml:space="preserve"> – olbrzymia presja płacowa, dramatyczne naruszenie struktury płacowej w firmach, skokowy wzrost kosztów finansowania realizacji usług</w:t>
      </w:r>
      <w:r>
        <w:rPr>
          <w:rFonts w:asciiTheme="minorHAnsi" w:hAnsiTheme="minorHAnsi" w:cstheme="minorHAnsi"/>
          <w:sz w:val="24"/>
          <w:szCs w:val="24"/>
        </w:rPr>
        <w:t>. To również rok, w którym w pełni ujawniły się skutki zdarzeń, które znamy z lat poprzednich</w:t>
      </w:r>
      <w:r w:rsidR="00900239">
        <w:rPr>
          <w:rFonts w:asciiTheme="minorHAnsi" w:hAnsiTheme="minorHAnsi" w:cstheme="minorHAnsi"/>
          <w:sz w:val="24"/>
          <w:szCs w:val="24"/>
        </w:rPr>
        <w:t xml:space="preserve"> – zakłócenia łańcuchów dostaw w wynik</w:t>
      </w:r>
      <w:r w:rsidR="00991FB0">
        <w:rPr>
          <w:rFonts w:asciiTheme="minorHAnsi" w:hAnsiTheme="minorHAnsi" w:cstheme="minorHAnsi"/>
          <w:sz w:val="24"/>
          <w:szCs w:val="24"/>
        </w:rPr>
        <w:t>u</w:t>
      </w:r>
      <w:r w:rsidR="00900239">
        <w:rPr>
          <w:rFonts w:asciiTheme="minorHAnsi" w:hAnsiTheme="minorHAnsi" w:cstheme="minorHAnsi"/>
          <w:sz w:val="24"/>
          <w:szCs w:val="24"/>
        </w:rPr>
        <w:t xml:space="preserve"> kolejnych konfliktów zbrojnych i stałe wzrosty cen niezbędnych do realizacji umowy komponentów</w:t>
      </w:r>
      <w:r>
        <w:rPr>
          <w:rFonts w:asciiTheme="minorHAnsi" w:hAnsiTheme="minorHAnsi" w:cstheme="minorHAnsi"/>
          <w:sz w:val="24"/>
          <w:szCs w:val="24"/>
        </w:rPr>
        <w:t>.</w:t>
      </w:r>
    </w:p>
    <w:p w14:paraId="7DEBCDCD" w14:textId="38CA08B4" w:rsidR="008F14B9" w:rsidRDefault="008F33D3" w:rsidP="00A37BAC">
      <w:pPr>
        <w:autoSpaceDE w:val="0"/>
        <w:autoSpaceDN w:val="0"/>
        <w:adjustRightInd w:val="0"/>
        <w:spacing w:after="0" w:line="360" w:lineRule="auto"/>
        <w:ind w:firstLine="708"/>
        <w:jc w:val="both"/>
        <w:rPr>
          <w:rFonts w:asciiTheme="minorHAnsi" w:hAnsiTheme="minorHAnsi" w:cstheme="minorHAnsi"/>
          <w:sz w:val="24"/>
          <w:szCs w:val="24"/>
        </w:rPr>
      </w:pPr>
      <w:r>
        <w:rPr>
          <w:rFonts w:asciiTheme="minorHAnsi" w:hAnsiTheme="minorHAnsi" w:cstheme="minorHAnsi"/>
          <w:sz w:val="24"/>
          <w:szCs w:val="24"/>
        </w:rPr>
        <w:t>P</w:t>
      </w:r>
      <w:r w:rsidR="00900239">
        <w:rPr>
          <w:rFonts w:asciiTheme="minorHAnsi" w:hAnsiTheme="minorHAnsi" w:cstheme="minorHAnsi"/>
          <w:sz w:val="24"/>
          <w:szCs w:val="24"/>
        </w:rPr>
        <w:t>owyżs</w:t>
      </w:r>
      <w:r>
        <w:rPr>
          <w:rFonts w:asciiTheme="minorHAnsi" w:hAnsiTheme="minorHAnsi" w:cstheme="minorHAnsi"/>
          <w:sz w:val="24"/>
          <w:szCs w:val="24"/>
        </w:rPr>
        <w:t>ze</w:t>
      </w:r>
      <w:r w:rsidR="00900239">
        <w:rPr>
          <w:rFonts w:asciiTheme="minorHAnsi" w:hAnsiTheme="minorHAnsi" w:cstheme="minorHAnsi"/>
          <w:sz w:val="24"/>
          <w:szCs w:val="24"/>
        </w:rPr>
        <w:t xml:space="preserve"> okoliczności</w:t>
      </w:r>
      <w:r w:rsidR="008F14B9">
        <w:rPr>
          <w:rFonts w:asciiTheme="minorHAnsi" w:hAnsiTheme="minorHAnsi" w:cstheme="minorHAnsi"/>
          <w:sz w:val="24"/>
          <w:szCs w:val="24"/>
        </w:rPr>
        <w:t xml:space="preserve"> </w:t>
      </w:r>
      <w:r w:rsidR="000D6348">
        <w:rPr>
          <w:rFonts w:asciiTheme="minorHAnsi" w:hAnsiTheme="minorHAnsi" w:cstheme="minorHAnsi"/>
          <w:sz w:val="24"/>
          <w:szCs w:val="24"/>
        </w:rPr>
        <w:t xml:space="preserve">są niezależne od stron i </w:t>
      </w:r>
      <w:r>
        <w:rPr>
          <w:rFonts w:asciiTheme="minorHAnsi" w:hAnsiTheme="minorHAnsi" w:cstheme="minorHAnsi"/>
          <w:sz w:val="24"/>
          <w:szCs w:val="24"/>
        </w:rPr>
        <w:t xml:space="preserve">mają charakter nieprzewidywalny, czego dowodem jest </w:t>
      </w:r>
      <w:r w:rsidR="008F14B9">
        <w:rPr>
          <w:rFonts w:asciiTheme="minorHAnsi" w:hAnsiTheme="minorHAnsi" w:cstheme="minorHAnsi"/>
          <w:sz w:val="24"/>
          <w:szCs w:val="24"/>
        </w:rPr>
        <w:t>np.</w:t>
      </w:r>
      <w:r w:rsidR="00900239">
        <w:rPr>
          <w:rFonts w:asciiTheme="minorHAnsi" w:hAnsiTheme="minorHAnsi" w:cstheme="minorHAnsi"/>
          <w:sz w:val="24"/>
          <w:szCs w:val="24"/>
        </w:rPr>
        <w:t xml:space="preserve"> </w:t>
      </w:r>
      <w:r w:rsidR="00C012CA">
        <w:rPr>
          <w:rFonts w:asciiTheme="minorHAnsi" w:hAnsiTheme="minorHAnsi" w:cstheme="minorHAnsi"/>
          <w:sz w:val="24"/>
          <w:szCs w:val="24"/>
        </w:rPr>
        <w:t xml:space="preserve">rozminięcie się założeń </w:t>
      </w:r>
      <w:r w:rsidR="002179C9">
        <w:rPr>
          <w:rFonts w:asciiTheme="minorHAnsi" w:hAnsiTheme="minorHAnsi" w:cstheme="minorHAnsi"/>
          <w:sz w:val="24"/>
          <w:szCs w:val="24"/>
        </w:rPr>
        <w:t xml:space="preserve">i </w:t>
      </w:r>
      <w:r w:rsidR="008F14B9">
        <w:rPr>
          <w:rFonts w:asciiTheme="minorHAnsi" w:hAnsiTheme="minorHAnsi" w:cstheme="minorHAnsi"/>
          <w:sz w:val="24"/>
          <w:szCs w:val="24"/>
        </w:rPr>
        <w:t xml:space="preserve">prognoz </w:t>
      </w:r>
      <w:r w:rsidR="00C012CA">
        <w:rPr>
          <w:rFonts w:asciiTheme="minorHAnsi" w:hAnsiTheme="minorHAnsi" w:cstheme="minorHAnsi"/>
          <w:sz w:val="24"/>
          <w:szCs w:val="24"/>
        </w:rPr>
        <w:t xml:space="preserve">ekonomicznych ogłaszanych przez Główny Urząd Statystyczny (GUS) </w:t>
      </w:r>
      <w:r w:rsidR="008F14B9">
        <w:rPr>
          <w:rFonts w:asciiTheme="minorHAnsi" w:hAnsiTheme="minorHAnsi" w:cstheme="minorHAnsi"/>
          <w:sz w:val="24"/>
          <w:szCs w:val="24"/>
        </w:rPr>
        <w:t xml:space="preserve">czy </w:t>
      </w:r>
      <w:r w:rsidR="00C012CA">
        <w:rPr>
          <w:rFonts w:asciiTheme="minorHAnsi" w:hAnsiTheme="minorHAnsi" w:cstheme="minorHAnsi"/>
          <w:sz w:val="24"/>
          <w:szCs w:val="24"/>
        </w:rPr>
        <w:t>Prezesa Narodowego Banku Polskiego (NBP) z</w:t>
      </w:r>
      <w:r w:rsidR="00955760">
        <w:rPr>
          <w:rFonts w:asciiTheme="minorHAnsi" w:hAnsiTheme="minorHAnsi" w:cstheme="minorHAnsi"/>
          <w:sz w:val="24"/>
          <w:szCs w:val="24"/>
        </w:rPr>
        <w:t> </w:t>
      </w:r>
      <w:r w:rsidR="008F14B9">
        <w:rPr>
          <w:rFonts w:asciiTheme="minorHAnsi" w:hAnsiTheme="minorHAnsi" w:cstheme="minorHAnsi"/>
          <w:sz w:val="24"/>
          <w:szCs w:val="24"/>
        </w:rPr>
        <w:t>rzeczywistością</w:t>
      </w:r>
      <w:r w:rsidR="00C012CA">
        <w:rPr>
          <w:rFonts w:asciiTheme="minorHAnsi" w:hAnsiTheme="minorHAnsi" w:cstheme="minorHAnsi"/>
          <w:sz w:val="24"/>
          <w:szCs w:val="24"/>
        </w:rPr>
        <w:t>.</w:t>
      </w:r>
      <w:r w:rsidR="004E32B9">
        <w:rPr>
          <w:rFonts w:asciiTheme="minorHAnsi" w:hAnsiTheme="minorHAnsi" w:cstheme="minorHAnsi"/>
          <w:sz w:val="24"/>
          <w:szCs w:val="24"/>
        </w:rPr>
        <w:t xml:space="preserve"> Ww. instytucje</w:t>
      </w:r>
      <w:r w:rsidR="00130F8B">
        <w:rPr>
          <w:rFonts w:asciiTheme="minorHAnsi" w:hAnsiTheme="minorHAnsi" w:cstheme="minorHAnsi"/>
          <w:sz w:val="24"/>
          <w:szCs w:val="24"/>
        </w:rPr>
        <w:t xml:space="preserve">, pomimo że dysponują ogromnym doświadczeniem i </w:t>
      </w:r>
      <w:r w:rsidR="005F2121">
        <w:rPr>
          <w:rFonts w:asciiTheme="minorHAnsi" w:hAnsiTheme="minorHAnsi" w:cstheme="minorHAnsi"/>
          <w:sz w:val="24"/>
          <w:szCs w:val="24"/>
        </w:rPr>
        <w:t xml:space="preserve">kompetencjami nie przewidziały wzrostów cen </w:t>
      </w:r>
      <w:r w:rsidR="00E33285">
        <w:rPr>
          <w:rFonts w:asciiTheme="minorHAnsi" w:hAnsiTheme="minorHAnsi" w:cstheme="minorHAnsi"/>
          <w:sz w:val="24"/>
          <w:szCs w:val="24"/>
        </w:rPr>
        <w:t xml:space="preserve">i kosztów, które </w:t>
      </w:r>
      <w:r w:rsidR="006E61D2">
        <w:rPr>
          <w:rFonts w:asciiTheme="minorHAnsi" w:hAnsiTheme="minorHAnsi" w:cstheme="minorHAnsi"/>
          <w:sz w:val="24"/>
          <w:szCs w:val="24"/>
        </w:rPr>
        <w:t>wystąpiły</w:t>
      </w:r>
      <w:r w:rsidR="00E33285">
        <w:rPr>
          <w:rFonts w:asciiTheme="minorHAnsi" w:hAnsiTheme="minorHAnsi" w:cstheme="minorHAnsi"/>
          <w:sz w:val="24"/>
          <w:szCs w:val="24"/>
        </w:rPr>
        <w:t xml:space="preserve"> w praktyce. Tym bardziej wzrostów tych nie mogli przewidzieć zamawiający i wykonawcy.</w:t>
      </w:r>
    </w:p>
    <w:p w14:paraId="1F132F32" w14:textId="4382F878" w:rsidR="00C012CA" w:rsidRDefault="00DC3466" w:rsidP="00A37BAC">
      <w:pPr>
        <w:autoSpaceDE w:val="0"/>
        <w:autoSpaceDN w:val="0"/>
        <w:adjustRightInd w:val="0"/>
        <w:spacing w:after="0" w:line="36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W efekcie </w:t>
      </w:r>
      <w:r w:rsidR="00FC090E">
        <w:rPr>
          <w:rFonts w:asciiTheme="minorHAnsi" w:hAnsiTheme="minorHAnsi" w:cstheme="minorHAnsi"/>
          <w:sz w:val="24"/>
          <w:szCs w:val="24"/>
        </w:rPr>
        <w:t>ani szac</w:t>
      </w:r>
      <w:r w:rsidR="000B7002">
        <w:rPr>
          <w:rFonts w:asciiTheme="minorHAnsi" w:hAnsiTheme="minorHAnsi" w:cstheme="minorHAnsi"/>
          <w:sz w:val="24"/>
          <w:szCs w:val="24"/>
        </w:rPr>
        <w:t>unkowa</w:t>
      </w:r>
      <w:r w:rsidR="00FC090E">
        <w:rPr>
          <w:rFonts w:asciiTheme="minorHAnsi" w:hAnsiTheme="minorHAnsi" w:cstheme="minorHAnsi"/>
          <w:sz w:val="24"/>
          <w:szCs w:val="24"/>
        </w:rPr>
        <w:t xml:space="preserve"> wartoś</w:t>
      </w:r>
      <w:r w:rsidR="000B7002">
        <w:rPr>
          <w:rFonts w:asciiTheme="minorHAnsi" w:hAnsiTheme="minorHAnsi" w:cstheme="minorHAnsi"/>
          <w:sz w:val="24"/>
          <w:szCs w:val="24"/>
        </w:rPr>
        <w:t>ć</w:t>
      </w:r>
      <w:r w:rsidR="00FC090E">
        <w:rPr>
          <w:rFonts w:asciiTheme="minorHAnsi" w:hAnsiTheme="minorHAnsi" w:cstheme="minorHAnsi"/>
          <w:sz w:val="24"/>
          <w:szCs w:val="24"/>
        </w:rPr>
        <w:t xml:space="preserve"> zamówienia ani </w:t>
      </w:r>
      <w:r>
        <w:rPr>
          <w:rFonts w:asciiTheme="minorHAnsi" w:hAnsiTheme="minorHAnsi" w:cstheme="minorHAnsi"/>
          <w:sz w:val="24"/>
          <w:szCs w:val="24"/>
        </w:rPr>
        <w:t>z</w:t>
      </w:r>
      <w:r w:rsidR="00C012CA" w:rsidRPr="001E1F44">
        <w:rPr>
          <w:rFonts w:asciiTheme="minorHAnsi" w:hAnsiTheme="minorHAnsi" w:cstheme="minorHAnsi"/>
          <w:sz w:val="24"/>
          <w:szCs w:val="24"/>
        </w:rPr>
        <w:t xml:space="preserve">aproponowane w </w:t>
      </w:r>
      <w:r>
        <w:rPr>
          <w:rFonts w:asciiTheme="minorHAnsi" w:hAnsiTheme="minorHAnsi" w:cstheme="minorHAnsi"/>
          <w:sz w:val="24"/>
          <w:szCs w:val="24"/>
        </w:rPr>
        <w:t xml:space="preserve">naszej </w:t>
      </w:r>
      <w:r w:rsidR="00C012CA" w:rsidRPr="001E1F44">
        <w:rPr>
          <w:rFonts w:asciiTheme="minorHAnsi" w:hAnsiTheme="minorHAnsi" w:cstheme="minorHAnsi"/>
          <w:sz w:val="24"/>
          <w:szCs w:val="24"/>
        </w:rPr>
        <w:t xml:space="preserve">ofercie przetargowej </w:t>
      </w:r>
      <w:r>
        <w:rPr>
          <w:rFonts w:asciiTheme="minorHAnsi" w:hAnsiTheme="minorHAnsi" w:cstheme="minorHAnsi"/>
          <w:sz w:val="24"/>
          <w:szCs w:val="24"/>
        </w:rPr>
        <w:t>kwoty</w:t>
      </w:r>
      <w:r w:rsidR="00C012CA" w:rsidRPr="001E1F44">
        <w:rPr>
          <w:rFonts w:asciiTheme="minorHAnsi" w:hAnsiTheme="minorHAnsi" w:cstheme="minorHAnsi"/>
          <w:sz w:val="24"/>
          <w:szCs w:val="24"/>
        </w:rPr>
        <w:t xml:space="preserve"> </w:t>
      </w:r>
      <w:r w:rsidR="00955760">
        <w:rPr>
          <w:rFonts w:asciiTheme="minorHAnsi" w:hAnsiTheme="minorHAnsi" w:cstheme="minorHAnsi"/>
          <w:sz w:val="24"/>
          <w:szCs w:val="24"/>
        </w:rPr>
        <w:t>wynagrodzenia</w:t>
      </w:r>
      <w:r w:rsidR="00C012CA" w:rsidRPr="001E1F44">
        <w:rPr>
          <w:rFonts w:asciiTheme="minorHAnsi" w:hAnsiTheme="minorHAnsi" w:cstheme="minorHAnsi"/>
          <w:sz w:val="24"/>
          <w:szCs w:val="24"/>
        </w:rPr>
        <w:t xml:space="preserve"> nie uwzględniały </w:t>
      </w:r>
      <w:r>
        <w:rPr>
          <w:rFonts w:asciiTheme="minorHAnsi" w:hAnsiTheme="minorHAnsi" w:cstheme="minorHAnsi"/>
          <w:sz w:val="24"/>
          <w:szCs w:val="24"/>
        </w:rPr>
        <w:t xml:space="preserve">(bo było to niemożliwe do przewidzenia!) </w:t>
      </w:r>
      <w:r w:rsidR="00C012CA">
        <w:rPr>
          <w:rFonts w:asciiTheme="minorHAnsi" w:hAnsiTheme="minorHAnsi" w:cstheme="minorHAnsi"/>
          <w:sz w:val="24"/>
          <w:szCs w:val="24"/>
        </w:rPr>
        <w:t xml:space="preserve">tak znaczącego </w:t>
      </w:r>
      <w:r w:rsidR="00C012CA" w:rsidRPr="001E1F44">
        <w:rPr>
          <w:rFonts w:asciiTheme="minorHAnsi" w:hAnsiTheme="minorHAnsi" w:cstheme="minorHAnsi"/>
          <w:sz w:val="24"/>
          <w:szCs w:val="24"/>
        </w:rPr>
        <w:t>wzrostu kosztów bezpośrednich i pośrednich, obejmujących m.in. oczekiwan</w:t>
      </w:r>
      <w:r w:rsidR="00CB2622">
        <w:rPr>
          <w:rFonts w:asciiTheme="minorHAnsi" w:hAnsiTheme="minorHAnsi" w:cstheme="minorHAnsi"/>
          <w:sz w:val="24"/>
          <w:szCs w:val="24"/>
        </w:rPr>
        <w:t>e</w:t>
      </w:r>
      <w:r w:rsidR="00C012CA" w:rsidRPr="001E1F44">
        <w:rPr>
          <w:rFonts w:asciiTheme="minorHAnsi" w:hAnsiTheme="minorHAnsi" w:cstheme="minorHAnsi"/>
          <w:sz w:val="24"/>
          <w:szCs w:val="24"/>
        </w:rPr>
        <w:t xml:space="preserve"> wysokości wynagrodzeń pracowników, rosnąc</w:t>
      </w:r>
      <w:r w:rsidR="00695A58">
        <w:rPr>
          <w:rFonts w:asciiTheme="minorHAnsi" w:hAnsiTheme="minorHAnsi" w:cstheme="minorHAnsi"/>
          <w:sz w:val="24"/>
          <w:szCs w:val="24"/>
        </w:rPr>
        <w:t>e</w:t>
      </w:r>
      <w:r w:rsidR="00C012CA" w:rsidRPr="001E1F44">
        <w:rPr>
          <w:rFonts w:asciiTheme="minorHAnsi" w:hAnsiTheme="minorHAnsi" w:cstheme="minorHAnsi"/>
          <w:sz w:val="24"/>
          <w:szCs w:val="24"/>
        </w:rPr>
        <w:t xml:space="preserve"> kosztów zakupu </w:t>
      </w:r>
      <w:r>
        <w:rPr>
          <w:rFonts w:asciiTheme="minorHAnsi" w:hAnsiTheme="minorHAnsi" w:cstheme="minorHAnsi"/>
          <w:sz w:val="24"/>
          <w:szCs w:val="24"/>
        </w:rPr>
        <w:t>…………………..</w:t>
      </w:r>
      <w:r w:rsidR="00C012CA" w:rsidRPr="001E1F44">
        <w:rPr>
          <w:rFonts w:asciiTheme="minorHAnsi" w:hAnsiTheme="minorHAnsi" w:cstheme="minorHAnsi"/>
          <w:sz w:val="24"/>
          <w:szCs w:val="24"/>
        </w:rPr>
        <w:t xml:space="preserve"> oraz koszt</w:t>
      </w:r>
      <w:r w:rsidR="00695A58">
        <w:rPr>
          <w:rFonts w:asciiTheme="minorHAnsi" w:hAnsiTheme="minorHAnsi" w:cstheme="minorHAnsi"/>
          <w:sz w:val="24"/>
          <w:szCs w:val="24"/>
        </w:rPr>
        <w:t>y</w:t>
      </w:r>
      <w:r w:rsidR="00C012CA" w:rsidRPr="001E1F44">
        <w:rPr>
          <w:rFonts w:asciiTheme="minorHAnsi" w:hAnsiTheme="minorHAnsi" w:cstheme="minorHAnsi"/>
          <w:sz w:val="24"/>
          <w:szCs w:val="24"/>
        </w:rPr>
        <w:t xml:space="preserve"> utrzymania infrastruktury</w:t>
      </w:r>
      <w:r>
        <w:rPr>
          <w:rFonts w:asciiTheme="minorHAnsi" w:hAnsiTheme="minorHAnsi" w:cstheme="minorHAnsi"/>
          <w:sz w:val="24"/>
          <w:szCs w:val="24"/>
        </w:rPr>
        <w:t xml:space="preserve"> niezbędnej </w:t>
      </w:r>
      <w:r w:rsidR="00AC40BE">
        <w:rPr>
          <w:rFonts w:asciiTheme="minorHAnsi" w:hAnsiTheme="minorHAnsi" w:cstheme="minorHAnsi"/>
          <w:sz w:val="24"/>
          <w:szCs w:val="24"/>
        </w:rPr>
        <w:t xml:space="preserve">do </w:t>
      </w:r>
      <w:r>
        <w:rPr>
          <w:rFonts w:asciiTheme="minorHAnsi" w:hAnsiTheme="minorHAnsi" w:cstheme="minorHAnsi"/>
          <w:sz w:val="24"/>
          <w:szCs w:val="24"/>
        </w:rPr>
        <w:t xml:space="preserve">wykonania umowy. </w:t>
      </w:r>
    </w:p>
    <w:p w14:paraId="17858111" w14:textId="5B43108B" w:rsidR="00695A58" w:rsidRDefault="00695A58" w:rsidP="00DC3466">
      <w:pPr>
        <w:autoSpaceDE w:val="0"/>
        <w:autoSpaceDN w:val="0"/>
        <w:adjustRightInd w:val="0"/>
        <w:spacing w:after="0" w:line="360" w:lineRule="auto"/>
        <w:ind w:firstLine="708"/>
        <w:jc w:val="both"/>
        <w:rPr>
          <w:rFonts w:asciiTheme="minorHAnsi" w:eastAsiaTheme="minorHAnsi" w:hAnsiTheme="minorHAnsi" w:cstheme="minorHAnsi"/>
          <w:sz w:val="24"/>
          <w:szCs w:val="24"/>
        </w:rPr>
      </w:pPr>
    </w:p>
    <w:p w14:paraId="27706A3B" w14:textId="49095716" w:rsidR="003B0657" w:rsidRDefault="00A37BAC" w:rsidP="00DC3466">
      <w:pPr>
        <w:autoSpaceDE w:val="0"/>
        <w:autoSpaceDN w:val="0"/>
        <w:adjustRightInd w:val="0"/>
        <w:spacing w:after="0" w:line="360" w:lineRule="auto"/>
        <w:ind w:firstLine="708"/>
        <w:jc w:val="both"/>
        <w:rPr>
          <w:rFonts w:asciiTheme="minorHAnsi" w:eastAsiaTheme="minorHAnsi" w:hAnsiTheme="minorHAnsi" w:cstheme="minorHAnsi"/>
          <w:sz w:val="24"/>
          <w:szCs w:val="24"/>
        </w:rPr>
      </w:pPr>
      <w:r w:rsidRPr="00A94A7B">
        <w:rPr>
          <w:rFonts w:asciiTheme="minorHAnsi" w:eastAsiaTheme="minorHAnsi" w:hAnsiTheme="minorHAnsi" w:cstheme="minorHAnsi"/>
          <w:sz w:val="24"/>
          <w:szCs w:val="24"/>
        </w:rPr>
        <w:t xml:space="preserve">Zapowiadana </w:t>
      </w:r>
      <w:r w:rsidR="00AC40BE">
        <w:rPr>
          <w:rFonts w:asciiTheme="minorHAnsi" w:eastAsiaTheme="minorHAnsi" w:hAnsiTheme="minorHAnsi" w:cstheme="minorHAnsi"/>
          <w:sz w:val="24"/>
          <w:szCs w:val="24"/>
        </w:rPr>
        <w:t xml:space="preserve">w </w:t>
      </w:r>
      <w:r w:rsidRPr="00A94A7B">
        <w:rPr>
          <w:rFonts w:asciiTheme="minorHAnsi" w:eastAsiaTheme="minorHAnsi" w:hAnsiTheme="minorHAnsi" w:cstheme="minorHAnsi"/>
          <w:sz w:val="24"/>
          <w:szCs w:val="24"/>
        </w:rPr>
        <w:t xml:space="preserve">2024 roku zmiana wysokości minimalnego wynagrodzenia </w:t>
      </w:r>
      <w:r w:rsidRPr="003E3588">
        <w:rPr>
          <w:rFonts w:asciiTheme="minorHAnsi" w:eastAsiaTheme="minorHAnsi" w:hAnsiTheme="minorHAnsi" w:cstheme="minorHAnsi"/>
          <w:b/>
          <w:bCs/>
          <w:sz w:val="24"/>
          <w:szCs w:val="24"/>
        </w:rPr>
        <w:t>o blisko 20%</w:t>
      </w:r>
      <w:r>
        <w:rPr>
          <w:rFonts w:asciiTheme="minorHAnsi" w:eastAsiaTheme="minorHAnsi" w:hAnsiTheme="minorHAnsi" w:cstheme="minorHAnsi"/>
          <w:sz w:val="24"/>
          <w:szCs w:val="24"/>
        </w:rPr>
        <w:t xml:space="preserve"> </w:t>
      </w:r>
      <w:r w:rsidR="003E3588">
        <w:rPr>
          <w:rFonts w:asciiTheme="minorHAnsi" w:eastAsiaTheme="minorHAnsi" w:hAnsiTheme="minorHAnsi" w:cstheme="minorHAnsi"/>
          <w:sz w:val="24"/>
          <w:szCs w:val="24"/>
        </w:rPr>
        <w:t>będzie kolejnym</w:t>
      </w:r>
      <w:r w:rsidR="008C2D81">
        <w:rPr>
          <w:rFonts w:asciiTheme="minorHAnsi" w:eastAsiaTheme="minorHAnsi" w:hAnsiTheme="minorHAnsi" w:cstheme="minorHAnsi"/>
          <w:sz w:val="24"/>
          <w:szCs w:val="24"/>
        </w:rPr>
        <w:t xml:space="preserve"> uderzeniem kosztowym dla </w:t>
      </w:r>
      <w:r w:rsidR="00CB5252">
        <w:rPr>
          <w:rFonts w:asciiTheme="minorHAnsi" w:eastAsiaTheme="minorHAnsi" w:hAnsiTheme="minorHAnsi" w:cstheme="minorHAnsi"/>
          <w:sz w:val="24"/>
          <w:szCs w:val="24"/>
        </w:rPr>
        <w:t>wykonawców</w:t>
      </w:r>
      <w:r w:rsidRPr="00A94A7B">
        <w:rPr>
          <w:rFonts w:asciiTheme="minorHAnsi" w:eastAsiaTheme="minorHAnsi" w:hAnsiTheme="minorHAnsi" w:cstheme="minorHAnsi"/>
          <w:sz w:val="24"/>
          <w:szCs w:val="24"/>
        </w:rPr>
        <w:t xml:space="preserve">. Zmiana ta wpłynie </w:t>
      </w:r>
      <w:r w:rsidR="00CB5252">
        <w:rPr>
          <w:rFonts w:asciiTheme="minorHAnsi" w:eastAsiaTheme="minorHAnsi" w:hAnsiTheme="minorHAnsi" w:cstheme="minorHAnsi"/>
          <w:sz w:val="24"/>
          <w:szCs w:val="24"/>
        </w:rPr>
        <w:t xml:space="preserve">nie tylko </w:t>
      </w:r>
      <w:r w:rsidRPr="00A94A7B">
        <w:rPr>
          <w:rFonts w:asciiTheme="minorHAnsi" w:eastAsiaTheme="minorHAnsi" w:hAnsiTheme="minorHAnsi" w:cstheme="minorHAnsi"/>
          <w:sz w:val="24"/>
          <w:szCs w:val="24"/>
        </w:rPr>
        <w:lastRenderedPageBreak/>
        <w:t>na płace osób otrzymuj</w:t>
      </w:r>
      <w:r>
        <w:rPr>
          <w:rFonts w:asciiTheme="minorHAnsi" w:eastAsiaTheme="minorHAnsi" w:hAnsiTheme="minorHAnsi" w:cstheme="minorHAnsi"/>
          <w:sz w:val="24"/>
          <w:szCs w:val="24"/>
        </w:rPr>
        <w:t>ących minimalne wynagrodzenie</w:t>
      </w:r>
      <w:r w:rsidR="003B0657">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w:t>
      </w:r>
      <w:r w:rsidR="003B0657">
        <w:rPr>
          <w:rFonts w:asciiTheme="minorHAnsi" w:eastAsiaTheme="minorHAnsi" w:hAnsiTheme="minorHAnsi" w:cstheme="minorHAnsi"/>
          <w:sz w:val="24"/>
          <w:szCs w:val="24"/>
        </w:rPr>
        <w:t>J</w:t>
      </w:r>
      <w:r w:rsidRPr="00A94A7B">
        <w:rPr>
          <w:rFonts w:asciiTheme="minorHAnsi" w:eastAsiaTheme="minorHAnsi" w:hAnsiTheme="minorHAnsi" w:cstheme="minorHAnsi"/>
          <w:sz w:val="24"/>
          <w:szCs w:val="24"/>
        </w:rPr>
        <w:t xml:space="preserve">ednocześnie pociągnie za sobą rosnące oczekiwania płacowe </w:t>
      </w:r>
      <w:r w:rsidR="003B0657">
        <w:rPr>
          <w:rFonts w:asciiTheme="minorHAnsi" w:eastAsiaTheme="minorHAnsi" w:hAnsiTheme="minorHAnsi" w:cstheme="minorHAnsi"/>
          <w:sz w:val="24"/>
          <w:szCs w:val="24"/>
        </w:rPr>
        <w:t xml:space="preserve">pracowników zatrudnionych </w:t>
      </w:r>
      <w:r w:rsidRPr="00A94A7B">
        <w:rPr>
          <w:rFonts w:asciiTheme="minorHAnsi" w:eastAsiaTheme="minorHAnsi" w:hAnsiTheme="minorHAnsi" w:cstheme="minorHAnsi"/>
          <w:sz w:val="24"/>
          <w:szCs w:val="24"/>
        </w:rPr>
        <w:t>na wszystkich stanowiskach</w:t>
      </w:r>
      <w:r w:rsidR="003B0657">
        <w:rPr>
          <w:rFonts w:asciiTheme="minorHAnsi" w:eastAsiaTheme="minorHAnsi" w:hAnsiTheme="minorHAnsi" w:cstheme="minorHAnsi"/>
          <w:sz w:val="24"/>
          <w:szCs w:val="24"/>
        </w:rPr>
        <w:t>, bez których nie jest możliw</w:t>
      </w:r>
      <w:r w:rsidR="00AC40BE">
        <w:rPr>
          <w:rFonts w:asciiTheme="minorHAnsi" w:eastAsiaTheme="minorHAnsi" w:hAnsiTheme="minorHAnsi" w:cstheme="minorHAnsi"/>
          <w:sz w:val="24"/>
          <w:szCs w:val="24"/>
        </w:rPr>
        <w:t>a</w:t>
      </w:r>
      <w:r w:rsidR="003B0657">
        <w:rPr>
          <w:rFonts w:asciiTheme="minorHAnsi" w:eastAsiaTheme="minorHAnsi" w:hAnsiTheme="minorHAnsi" w:cstheme="minorHAnsi"/>
          <w:sz w:val="24"/>
          <w:szCs w:val="24"/>
        </w:rPr>
        <w:t xml:space="preserve"> realizacj</w:t>
      </w:r>
      <w:r w:rsidR="00AC40BE">
        <w:rPr>
          <w:rFonts w:asciiTheme="minorHAnsi" w:eastAsiaTheme="minorHAnsi" w:hAnsiTheme="minorHAnsi" w:cstheme="minorHAnsi"/>
          <w:sz w:val="24"/>
          <w:szCs w:val="24"/>
        </w:rPr>
        <w:t>a</w:t>
      </w:r>
      <w:r w:rsidR="003B0657">
        <w:rPr>
          <w:rFonts w:asciiTheme="minorHAnsi" w:eastAsiaTheme="minorHAnsi" w:hAnsiTheme="minorHAnsi" w:cstheme="minorHAnsi"/>
          <w:sz w:val="24"/>
          <w:szCs w:val="24"/>
        </w:rPr>
        <w:t xml:space="preserve"> umowy</w:t>
      </w:r>
      <w:r w:rsidRPr="00A94A7B">
        <w:rPr>
          <w:rFonts w:asciiTheme="minorHAnsi" w:eastAsiaTheme="minorHAnsi" w:hAnsiTheme="minorHAnsi" w:cstheme="minorHAnsi"/>
          <w:sz w:val="24"/>
          <w:szCs w:val="24"/>
        </w:rPr>
        <w:t xml:space="preserve">. Ta presja płacowa </w:t>
      </w:r>
      <w:r w:rsidR="003B0657">
        <w:rPr>
          <w:rFonts w:asciiTheme="minorHAnsi" w:eastAsiaTheme="minorHAnsi" w:hAnsiTheme="minorHAnsi" w:cstheme="minorHAnsi"/>
          <w:sz w:val="24"/>
          <w:szCs w:val="24"/>
        </w:rPr>
        <w:t xml:space="preserve">już zmusza </w:t>
      </w:r>
      <w:r w:rsidRPr="00A94A7B">
        <w:rPr>
          <w:rFonts w:asciiTheme="minorHAnsi" w:eastAsiaTheme="minorHAnsi" w:hAnsiTheme="minorHAnsi" w:cstheme="minorHAnsi"/>
          <w:sz w:val="24"/>
          <w:szCs w:val="24"/>
        </w:rPr>
        <w:t xml:space="preserve">przedsiębiorców do odpowiedniej korekty wynagrodzeń pracowników dotychczas otrzymujących wynagrodzenie wyższe niż kwota minimalnego wynagrodzenia za pracę. </w:t>
      </w:r>
    </w:p>
    <w:p w14:paraId="5C84BBCB" w14:textId="77777777" w:rsidR="00C06A46" w:rsidRDefault="00C06A46" w:rsidP="00DC3466">
      <w:pPr>
        <w:autoSpaceDE w:val="0"/>
        <w:autoSpaceDN w:val="0"/>
        <w:adjustRightInd w:val="0"/>
        <w:spacing w:after="0" w:line="360" w:lineRule="auto"/>
        <w:ind w:firstLine="708"/>
        <w:jc w:val="both"/>
        <w:rPr>
          <w:rFonts w:asciiTheme="minorHAnsi" w:eastAsiaTheme="minorHAnsi" w:hAnsiTheme="minorHAnsi" w:cstheme="minorHAnsi"/>
          <w:sz w:val="24"/>
          <w:szCs w:val="24"/>
        </w:rPr>
      </w:pPr>
    </w:p>
    <w:p w14:paraId="7CA9B715" w14:textId="41EC75CF" w:rsidR="00A37BAC" w:rsidRDefault="00A37BAC" w:rsidP="00DC3466">
      <w:pPr>
        <w:autoSpaceDE w:val="0"/>
        <w:autoSpaceDN w:val="0"/>
        <w:adjustRightInd w:val="0"/>
        <w:spacing w:after="0" w:line="360" w:lineRule="auto"/>
        <w:ind w:firstLine="708"/>
        <w:jc w:val="both"/>
        <w:rPr>
          <w:rFonts w:asciiTheme="minorHAnsi" w:eastAsiaTheme="minorHAnsi" w:hAnsiTheme="minorHAnsi" w:cstheme="minorHAnsi"/>
          <w:sz w:val="24"/>
          <w:szCs w:val="24"/>
        </w:rPr>
      </w:pPr>
      <w:r w:rsidRPr="00A94A7B">
        <w:rPr>
          <w:rFonts w:asciiTheme="minorHAnsi" w:eastAsiaTheme="minorHAnsi" w:hAnsiTheme="minorHAnsi" w:cstheme="minorHAnsi"/>
          <w:sz w:val="24"/>
          <w:szCs w:val="24"/>
        </w:rPr>
        <w:t xml:space="preserve">Wysokość wzrostu cen innych elementów kosztowych na przełomie 2023 i 2024 oraz w roku 2024 jest w tym momencie jeszcze nieprzewidywalna. </w:t>
      </w:r>
    </w:p>
    <w:p w14:paraId="15E19D77" w14:textId="17B5CA38" w:rsidR="00304D69" w:rsidRDefault="00304D69" w:rsidP="003B0657">
      <w:pPr>
        <w:autoSpaceDE w:val="0"/>
        <w:autoSpaceDN w:val="0"/>
        <w:adjustRightInd w:val="0"/>
        <w:spacing w:after="0" w:line="360" w:lineRule="auto"/>
        <w:ind w:firstLine="708"/>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Poniżej przedstawiamy procentowe </w:t>
      </w:r>
      <w:r w:rsidR="007B0410">
        <w:rPr>
          <w:rFonts w:asciiTheme="minorHAnsi" w:eastAsiaTheme="minorHAnsi" w:hAnsiTheme="minorHAnsi" w:cstheme="minorHAnsi"/>
          <w:sz w:val="24"/>
          <w:szCs w:val="24"/>
        </w:rPr>
        <w:t xml:space="preserve">(w oparciu o wskaźniki cen towarów i usług konsumpcyjnych w </w:t>
      </w:r>
      <w:r w:rsidR="003B0657">
        <w:rPr>
          <w:rFonts w:asciiTheme="minorHAnsi" w:eastAsiaTheme="minorHAnsi" w:hAnsiTheme="minorHAnsi" w:cstheme="minorHAnsi"/>
          <w:sz w:val="24"/>
          <w:szCs w:val="24"/>
        </w:rPr>
        <w:t>…...</w:t>
      </w:r>
      <w:r w:rsidR="007B0410">
        <w:rPr>
          <w:rFonts w:asciiTheme="minorHAnsi" w:eastAsiaTheme="minorHAnsi" w:hAnsiTheme="minorHAnsi" w:cstheme="minorHAnsi"/>
          <w:sz w:val="24"/>
          <w:szCs w:val="24"/>
        </w:rPr>
        <w:t xml:space="preserve"> 2023 roku) </w:t>
      </w:r>
      <w:r>
        <w:rPr>
          <w:rFonts w:asciiTheme="minorHAnsi" w:eastAsiaTheme="minorHAnsi" w:hAnsiTheme="minorHAnsi" w:cstheme="minorHAnsi"/>
          <w:sz w:val="24"/>
          <w:szCs w:val="24"/>
        </w:rPr>
        <w:t>i wartościowe wzrosty poszczególny</w:t>
      </w:r>
      <w:r w:rsidR="00F15230">
        <w:rPr>
          <w:rFonts w:asciiTheme="minorHAnsi" w:eastAsiaTheme="minorHAnsi" w:hAnsiTheme="minorHAnsi" w:cstheme="minorHAnsi"/>
          <w:sz w:val="24"/>
          <w:szCs w:val="24"/>
        </w:rPr>
        <w:t>ch elementów</w:t>
      </w:r>
      <w:r>
        <w:rPr>
          <w:rFonts w:asciiTheme="minorHAnsi" w:eastAsiaTheme="minorHAnsi" w:hAnsiTheme="minorHAnsi" w:cstheme="minorHAnsi"/>
          <w:sz w:val="24"/>
          <w:szCs w:val="24"/>
        </w:rPr>
        <w:t xml:space="preserve"> kosztowych, które są składowymi wartości </w:t>
      </w:r>
      <w:r w:rsidR="00F15230">
        <w:rPr>
          <w:rFonts w:asciiTheme="minorHAnsi" w:eastAsiaTheme="minorHAnsi" w:hAnsiTheme="minorHAnsi" w:cstheme="minorHAnsi"/>
          <w:sz w:val="24"/>
          <w:szCs w:val="24"/>
        </w:rPr>
        <w:t xml:space="preserve">usług </w:t>
      </w:r>
      <w:r>
        <w:rPr>
          <w:rFonts w:asciiTheme="minorHAnsi" w:eastAsiaTheme="minorHAnsi" w:hAnsiTheme="minorHAnsi" w:cstheme="minorHAnsi"/>
          <w:sz w:val="24"/>
          <w:szCs w:val="24"/>
        </w:rPr>
        <w:t>świadczon</w:t>
      </w:r>
      <w:r w:rsidR="00F15230">
        <w:rPr>
          <w:rFonts w:asciiTheme="minorHAnsi" w:eastAsiaTheme="minorHAnsi" w:hAnsiTheme="minorHAnsi" w:cstheme="minorHAnsi"/>
          <w:sz w:val="24"/>
          <w:szCs w:val="24"/>
        </w:rPr>
        <w:t>ych na Państwa rzecz.</w:t>
      </w:r>
      <w:r>
        <w:rPr>
          <w:rFonts w:asciiTheme="minorHAnsi" w:eastAsiaTheme="minorHAnsi" w:hAnsiTheme="minorHAnsi" w:cstheme="minorHAnsi"/>
          <w:sz w:val="24"/>
          <w:szCs w:val="24"/>
        </w:rPr>
        <w:t xml:space="preserve"> </w:t>
      </w:r>
      <w:r w:rsidR="007B0410">
        <w:rPr>
          <w:rFonts w:asciiTheme="minorHAnsi" w:eastAsiaTheme="minorHAnsi" w:hAnsiTheme="minorHAnsi" w:cstheme="minorHAnsi"/>
          <w:sz w:val="24"/>
          <w:szCs w:val="24"/>
        </w:rPr>
        <w:t>Parametry płacowe oparte są na procentowym wzroście minimalnego wynagrodzenia w 2024 roku.</w:t>
      </w:r>
    </w:p>
    <w:p w14:paraId="26C8C923" w14:textId="77777777" w:rsidR="002023B0" w:rsidRDefault="002023B0" w:rsidP="003B0657">
      <w:pPr>
        <w:autoSpaceDE w:val="0"/>
        <w:autoSpaceDN w:val="0"/>
        <w:adjustRightInd w:val="0"/>
        <w:spacing w:after="0" w:line="360" w:lineRule="auto"/>
        <w:ind w:firstLine="708"/>
        <w:jc w:val="both"/>
        <w:rPr>
          <w:rFonts w:asciiTheme="minorHAnsi" w:eastAsiaTheme="minorHAnsi" w:hAnsiTheme="minorHAnsi" w:cstheme="minorHAnsi"/>
          <w:sz w:val="24"/>
          <w:szCs w:val="24"/>
        </w:rPr>
      </w:pPr>
    </w:p>
    <w:p w14:paraId="267570F9" w14:textId="027BC7CB" w:rsidR="00E87463" w:rsidRPr="00E87463" w:rsidRDefault="0043608F" w:rsidP="00E87463">
      <w:pPr>
        <w:autoSpaceDE w:val="0"/>
        <w:autoSpaceDN w:val="0"/>
        <w:adjustRightInd w:val="0"/>
        <w:spacing w:after="0" w:line="360" w:lineRule="auto"/>
        <w:jc w:val="center"/>
        <w:rPr>
          <w:rFonts w:asciiTheme="minorHAnsi" w:eastAsiaTheme="minorHAnsi" w:hAnsiTheme="minorHAnsi" w:cstheme="minorHAnsi"/>
          <w:b/>
          <w:bCs/>
          <w:i/>
          <w:iCs/>
          <w:sz w:val="24"/>
          <w:szCs w:val="24"/>
          <w:highlight w:val="yellow"/>
        </w:rPr>
      </w:pPr>
      <w:r w:rsidRPr="00E87463">
        <w:rPr>
          <w:rFonts w:asciiTheme="minorHAnsi" w:eastAsiaTheme="minorHAnsi" w:hAnsiTheme="minorHAnsi" w:cstheme="minorHAnsi"/>
          <w:b/>
          <w:bCs/>
          <w:i/>
          <w:iCs/>
          <w:sz w:val="24"/>
          <w:szCs w:val="24"/>
          <w:highlight w:val="yellow"/>
        </w:rPr>
        <w:t>T</w:t>
      </w:r>
      <w:r w:rsidR="002023B0" w:rsidRPr="00E87463">
        <w:rPr>
          <w:rFonts w:asciiTheme="minorHAnsi" w:eastAsiaTheme="minorHAnsi" w:hAnsiTheme="minorHAnsi" w:cstheme="minorHAnsi"/>
          <w:b/>
          <w:bCs/>
          <w:i/>
          <w:iCs/>
          <w:sz w:val="24"/>
          <w:szCs w:val="24"/>
          <w:highlight w:val="yellow"/>
        </w:rPr>
        <w:t>abela wzrostu kosztów</w:t>
      </w:r>
    </w:p>
    <w:p w14:paraId="0B6299F4" w14:textId="0B427C10" w:rsidR="007B0410" w:rsidRPr="002023B0" w:rsidRDefault="00E87463" w:rsidP="00A37BAC">
      <w:pPr>
        <w:autoSpaceDE w:val="0"/>
        <w:autoSpaceDN w:val="0"/>
        <w:adjustRightInd w:val="0"/>
        <w:spacing w:after="0" w:line="360" w:lineRule="auto"/>
        <w:jc w:val="both"/>
        <w:rPr>
          <w:rFonts w:asciiTheme="minorHAnsi" w:eastAsiaTheme="minorHAnsi" w:hAnsiTheme="minorHAnsi" w:cstheme="minorHAnsi"/>
          <w:i/>
          <w:iCs/>
          <w:sz w:val="24"/>
          <w:szCs w:val="24"/>
          <w:highlight w:val="yellow"/>
        </w:rPr>
      </w:pPr>
      <w:r>
        <w:rPr>
          <w:rFonts w:asciiTheme="minorHAnsi" w:eastAsiaTheme="minorHAnsi" w:hAnsiTheme="minorHAnsi" w:cstheme="minorHAnsi"/>
          <w:i/>
          <w:iCs/>
          <w:sz w:val="24"/>
          <w:szCs w:val="24"/>
          <w:highlight w:val="yellow"/>
        </w:rPr>
        <w:t>[</w:t>
      </w:r>
      <w:r w:rsidR="002023B0" w:rsidRPr="002023B0">
        <w:rPr>
          <w:rFonts w:asciiTheme="minorHAnsi" w:eastAsiaTheme="minorHAnsi" w:hAnsiTheme="minorHAnsi" w:cstheme="minorHAnsi"/>
          <w:i/>
          <w:iCs/>
          <w:sz w:val="24"/>
          <w:szCs w:val="24"/>
          <w:highlight w:val="yellow"/>
        </w:rPr>
        <w:t xml:space="preserve"> </w:t>
      </w:r>
      <w:r w:rsidR="007045EC">
        <w:rPr>
          <w:rFonts w:asciiTheme="minorHAnsi" w:eastAsiaTheme="minorHAnsi" w:hAnsiTheme="minorHAnsi" w:cstheme="minorHAnsi"/>
          <w:i/>
          <w:iCs/>
          <w:sz w:val="24"/>
          <w:szCs w:val="24"/>
          <w:highlight w:val="yellow"/>
        </w:rPr>
        <w:t xml:space="preserve">pozycje w tabeli to przykłady; </w:t>
      </w:r>
      <w:r w:rsidR="002023B0" w:rsidRPr="002023B0">
        <w:rPr>
          <w:rFonts w:asciiTheme="minorHAnsi" w:eastAsiaTheme="minorHAnsi" w:hAnsiTheme="minorHAnsi" w:cstheme="minorHAnsi"/>
          <w:i/>
          <w:iCs/>
          <w:sz w:val="24"/>
          <w:szCs w:val="24"/>
          <w:highlight w:val="yellow"/>
        </w:rPr>
        <w:t>należy wpisać kategori</w:t>
      </w:r>
      <w:r>
        <w:rPr>
          <w:rFonts w:asciiTheme="minorHAnsi" w:eastAsiaTheme="minorHAnsi" w:hAnsiTheme="minorHAnsi" w:cstheme="minorHAnsi"/>
          <w:i/>
          <w:iCs/>
          <w:sz w:val="24"/>
          <w:szCs w:val="24"/>
          <w:highlight w:val="yellow"/>
        </w:rPr>
        <w:t>e i wartości wzrostu</w:t>
      </w:r>
      <w:r w:rsidR="002023B0" w:rsidRPr="002023B0">
        <w:rPr>
          <w:rFonts w:asciiTheme="minorHAnsi" w:eastAsiaTheme="minorHAnsi" w:hAnsiTheme="minorHAnsi" w:cstheme="minorHAnsi"/>
          <w:i/>
          <w:iCs/>
          <w:sz w:val="24"/>
          <w:szCs w:val="24"/>
          <w:highlight w:val="yellow"/>
        </w:rPr>
        <w:t xml:space="preserve"> kosztów właściw</w:t>
      </w:r>
      <w:r>
        <w:rPr>
          <w:rFonts w:asciiTheme="minorHAnsi" w:eastAsiaTheme="minorHAnsi" w:hAnsiTheme="minorHAnsi" w:cstheme="minorHAnsi"/>
          <w:i/>
          <w:iCs/>
          <w:sz w:val="24"/>
          <w:szCs w:val="24"/>
          <w:highlight w:val="yellow"/>
        </w:rPr>
        <w:t>e</w:t>
      </w:r>
      <w:r w:rsidR="002023B0" w:rsidRPr="002023B0">
        <w:rPr>
          <w:rFonts w:asciiTheme="minorHAnsi" w:eastAsiaTheme="minorHAnsi" w:hAnsiTheme="minorHAnsi" w:cstheme="minorHAnsi"/>
          <w:i/>
          <w:iCs/>
          <w:sz w:val="24"/>
          <w:szCs w:val="24"/>
          <w:highlight w:val="yellow"/>
        </w:rPr>
        <w:t xml:space="preserve"> dla </w:t>
      </w:r>
      <w:r>
        <w:rPr>
          <w:rFonts w:asciiTheme="minorHAnsi" w:eastAsiaTheme="minorHAnsi" w:hAnsiTheme="minorHAnsi" w:cstheme="minorHAnsi"/>
          <w:i/>
          <w:iCs/>
          <w:sz w:val="24"/>
          <w:szCs w:val="24"/>
          <w:highlight w:val="yellow"/>
        </w:rPr>
        <w:t xml:space="preserve">danego typu </w:t>
      </w:r>
      <w:r w:rsidR="002023B0" w:rsidRPr="002023B0">
        <w:rPr>
          <w:rFonts w:asciiTheme="minorHAnsi" w:eastAsiaTheme="minorHAnsi" w:hAnsiTheme="minorHAnsi" w:cstheme="minorHAnsi"/>
          <w:i/>
          <w:iCs/>
          <w:sz w:val="24"/>
          <w:szCs w:val="24"/>
          <w:highlight w:val="yellow"/>
        </w:rPr>
        <w:t>usługi</w:t>
      </w:r>
      <w:r>
        <w:rPr>
          <w:rFonts w:asciiTheme="minorHAnsi" w:eastAsiaTheme="minorHAnsi" w:hAnsiTheme="minorHAnsi" w:cstheme="minorHAnsi"/>
          <w:i/>
          <w:iCs/>
          <w:sz w:val="24"/>
          <w:szCs w:val="24"/>
          <w:highlight w:val="yellow"/>
        </w:rPr>
        <w:t>]</w:t>
      </w:r>
      <w:r w:rsidR="002023B0" w:rsidRPr="002023B0">
        <w:rPr>
          <w:rFonts w:asciiTheme="minorHAnsi" w:eastAsiaTheme="minorHAnsi" w:hAnsiTheme="minorHAnsi" w:cstheme="minorHAnsi"/>
          <w:i/>
          <w:iCs/>
          <w:sz w:val="24"/>
          <w:szCs w:val="24"/>
          <w:highlight w:val="yellow"/>
        </w:rPr>
        <w:t>:</w:t>
      </w:r>
    </w:p>
    <w:tbl>
      <w:tblPr>
        <w:tblStyle w:val="Tabela-Siatka"/>
        <w:tblW w:w="10490" w:type="dxa"/>
        <w:tblInd w:w="-714" w:type="dxa"/>
        <w:tblLayout w:type="fixed"/>
        <w:tblLook w:val="04A0" w:firstRow="1" w:lastRow="0" w:firstColumn="1" w:lastColumn="0" w:noHBand="0" w:noVBand="1"/>
      </w:tblPr>
      <w:tblGrid>
        <w:gridCol w:w="3544"/>
        <w:gridCol w:w="1276"/>
        <w:gridCol w:w="4111"/>
        <w:gridCol w:w="1559"/>
      </w:tblGrid>
      <w:tr w:rsidR="00EC6893" w:rsidRPr="002023B0" w14:paraId="64948547" w14:textId="77777777" w:rsidTr="00F96A8F">
        <w:tc>
          <w:tcPr>
            <w:tcW w:w="3544" w:type="dxa"/>
            <w:shd w:val="clear" w:color="auto" w:fill="E7E6E6" w:themeFill="background2"/>
          </w:tcPr>
          <w:p w14:paraId="60B8D033" w14:textId="77777777" w:rsidR="00EC6893" w:rsidRPr="002023B0" w:rsidRDefault="00EC6893" w:rsidP="00EC6893">
            <w:pPr>
              <w:autoSpaceDE w:val="0"/>
              <w:autoSpaceDN w:val="0"/>
              <w:adjustRightInd w:val="0"/>
              <w:spacing w:after="0" w:line="240" w:lineRule="auto"/>
              <w:rPr>
                <w:rFonts w:asciiTheme="minorHAnsi" w:eastAsiaTheme="minorHAnsi" w:hAnsiTheme="minorHAnsi" w:cstheme="minorHAnsi"/>
                <w:b/>
                <w:i/>
                <w:iCs/>
                <w:sz w:val="24"/>
                <w:szCs w:val="24"/>
                <w:highlight w:val="yellow"/>
              </w:rPr>
            </w:pPr>
            <w:r w:rsidRPr="002023B0">
              <w:rPr>
                <w:rFonts w:asciiTheme="minorHAnsi" w:eastAsiaTheme="minorHAnsi" w:hAnsiTheme="minorHAnsi" w:cstheme="minorHAnsi"/>
                <w:b/>
                <w:i/>
                <w:iCs/>
                <w:sz w:val="24"/>
                <w:szCs w:val="24"/>
                <w:highlight w:val="yellow"/>
              </w:rPr>
              <w:t xml:space="preserve">Składnik </w:t>
            </w:r>
            <w:r w:rsidR="00DF157C" w:rsidRPr="002023B0">
              <w:rPr>
                <w:rFonts w:asciiTheme="minorHAnsi" w:eastAsiaTheme="minorHAnsi" w:hAnsiTheme="minorHAnsi" w:cstheme="minorHAnsi"/>
                <w:b/>
                <w:i/>
                <w:iCs/>
                <w:sz w:val="24"/>
                <w:szCs w:val="24"/>
                <w:highlight w:val="yellow"/>
              </w:rPr>
              <w:t xml:space="preserve">wzrostu </w:t>
            </w:r>
            <w:r w:rsidRPr="002023B0">
              <w:rPr>
                <w:rFonts w:asciiTheme="minorHAnsi" w:eastAsiaTheme="minorHAnsi" w:hAnsiTheme="minorHAnsi" w:cstheme="minorHAnsi"/>
                <w:b/>
                <w:i/>
                <w:iCs/>
                <w:sz w:val="24"/>
                <w:szCs w:val="24"/>
                <w:highlight w:val="yellow"/>
              </w:rPr>
              <w:t>kosztów bezpośrednich realizacji usługi</w:t>
            </w:r>
          </w:p>
        </w:tc>
        <w:tc>
          <w:tcPr>
            <w:tcW w:w="1276" w:type="dxa"/>
            <w:shd w:val="clear" w:color="auto" w:fill="E7E6E6" w:themeFill="background2"/>
          </w:tcPr>
          <w:p w14:paraId="2D1814F6" w14:textId="77777777" w:rsidR="00EC6893" w:rsidRPr="002023B0" w:rsidRDefault="00EC6893" w:rsidP="00EC6893">
            <w:pPr>
              <w:autoSpaceDE w:val="0"/>
              <w:autoSpaceDN w:val="0"/>
              <w:adjustRightInd w:val="0"/>
              <w:spacing w:after="0" w:line="240" w:lineRule="auto"/>
              <w:rPr>
                <w:rFonts w:asciiTheme="minorHAnsi" w:eastAsiaTheme="minorHAnsi" w:hAnsiTheme="minorHAnsi" w:cstheme="minorHAnsi"/>
                <w:b/>
                <w:i/>
                <w:iCs/>
                <w:sz w:val="24"/>
                <w:szCs w:val="24"/>
                <w:highlight w:val="yellow"/>
              </w:rPr>
            </w:pPr>
            <w:r w:rsidRPr="002023B0">
              <w:rPr>
                <w:rFonts w:asciiTheme="minorHAnsi" w:eastAsiaTheme="minorHAnsi" w:hAnsiTheme="minorHAnsi" w:cstheme="minorHAnsi"/>
                <w:b/>
                <w:i/>
                <w:iCs/>
                <w:sz w:val="24"/>
                <w:szCs w:val="24"/>
                <w:highlight w:val="yellow"/>
              </w:rPr>
              <w:t>% wzrostu</w:t>
            </w:r>
          </w:p>
        </w:tc>
        <w:tc>
          <w:tcPr>
            <w:tcW w:w="4111" w:type="dxa"/>
            <w:shd w:val="clear" w:color="auto" w:fill="E7E6E6" w:themeFill="background2"/>
          </w:tcPr>
          <w:p w14:paraId="0FE8F271" w14:textId="77777777" w:rsidR="00EC6893" w:rsidRPr="002023B0" w:rsidRDefault="00EC6893" w:rsidP="00EC6893">
            <w:pPr>
              <w:autoSpaceDE w:val="0"/>
              <w:autoSpaceDN w:val="0"/>
              <w:adjustRightInd w:val="0"/>
              <w:spacing w:after="0" w:line="240" w:lineRule="auto"/>
              <w:rPr>
                <w:rFonts w:asciiTheme="minorHAnsi" w:eastAsiaTheme="minorHAnsi" w:hAnsiTheme="minorHAnsi" w:cstheme="minorHAnsi"/>
                <w:b/>
                <w:i/>
                <w:iCs/>
                <w:sz w:val="24"/>
                <w:szCs w:val="24"/>
                <w:highlight w:val="yellow"/>
              </w:rPr>
            </w:pPr>
            <w:r w:rsidRPr="002023B0">
              <w:rPr>
                <w:rFonts w:asciiTheme="minorHAnsi" w:eastAsiaTheme="minorHAnsi" w:hAnsiTheme="minorHAnsi" w:cstheme="minorHAnsi"/>
                <w:b/>
                <w:i/>
                <w:iCs/>
                <w:sz w:val="24"/>
                <w:szCs w:val="24"/>
                <w:highlight w:val="yellow"/>
              </w:rPr>
              <w:t>Wskaźnik cen towarów i usług konsumpcyjnych w sierpniu 2023 roku</w:t>
            </w:r>
            <w:r w:rsidR="00A4091E" w:rsidRPr="002023B0">
              <w:rPr>
                <w:rFonts w:asciiTheme="minorHAnsi" w:eastAsiaTheme="minorHAnsi" w:hAnsiTheme="minorHAnsi" w:cstheme="minorHAnsi"/>
                <w:b/>
                <w:i/>
                <w:iCs/>
                <w:sz w:val="24"/>
                <w:szCs w:val="24"/>
                <w:highlight w:val="yellow"/>
              </w:rPr>
              <w:t xml:space="preserve"> (Załącznik Tablica nr 2</w:t>
            </w:r>
            <w:r w:rsidR="00DF157C" w:rsidRPr="002023B0">
              <w:rPr>
                <w:rFonts w:asciiTheme="minorHAnsi" w:eastAsiaTheme="minorHAnsi" w:hAnsiTheme="minorHAnsi" w:cstheme="minorHAnsi"/>
                <w:b/>
                <w:i/>
                <w:iCs/>
                <w:sz w:val="24"/>
                <w:szCs w:val="24"/>
                <w:highlight w:val="yellow"/>
              </w:rPr>
              <w:t xml:space="preserve"> GUS)</w:t>
            </w:r>
          </w:p>
        </w:tc>
        <w:tc>
          <w:tcPr>
            <w:tcW w:w="1559" w:type="dxa"/>
            <w:shd w:val="clear" w:color="auto" w:fill="E7E6E6" w:themeFill="background2"/>
          </w:tcPr>
          <w:p w14:paraId="76A9A10E" w14:textId="77777777" w:rsidR="00EC6893" w:rsidRPr="002023B0" w:rsidRDefault="00EC6893" w:rsidP="00EC6893">
            <w:pPr>
              <w:autoSpaceDE w:val="0"/>
              <w:autoSpaceDN w:val="0"/>
              <w:adjustRightInd w:val="0"/>
              <w:spacing w:after="0" w:line="240" w:lineRule="auto"/>
              <w:rPr>
                <w:rFonts w:asciiTheme="minorHAnsi" w:eastAsiaTheme="minorHAnsi" w:hAnsiTheme="minorHAnsi" w:cstheme="minorHAnsi"/>
                <w:b/>
                <w:i/>
                <w:iCs/>
                <w:sz w:val="24"/>
                <w:szCs w:val="24"/>
                <w:highlight w:val="yellow"/>
              </w:rPr>
            </w:pPr>
            <w:r w:rsidRPr="002023B0">
              <w:rPr>
                <w:rFonts w:asciiTheme="minorHAnsi" w:eastAsiaTheme="minorHAnsi" w:hAnsiTheme="minorHAnsi" w:cstheme="minorHAnsi"/>
                <w:b/>
                <w:i/>
                <w:iCs/>
                <w:sz w:val="24"/>
                <w:szCs w:val="24"/>
                <w:highlight w:val="yellow"/>
              </w:rPr>
              <w:t>Wartość wzrostu kosztu netto</w:t>
            </w:r>
          </w:p>
        </w:tc>
      </w:tr>
      <w:tr w:rsidR="00EC6893" w:rsidRPr="002023B0" w14:paraId="56E81BC0" w14:textId="77777777" w:rsidTr="00EC6893">
        <w:tc>
          <w:tcPr>
            <w:tcW w:w="3544" w:type="dxa"/>
          </w:tcPr>
          <w:p w14:paraId="30C9E3EA" w14:textId="77777777" w:rsidR="00EC6893" w:rsidRPr="002023B0" w:rsidRDefault="00EC6893" w:rsidP="00EC6893">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płacowych personelu liniowego związany ze zmianą minimalnego wynagrodzenia w 2024 roku</w:t>
            </w:r>
          </w:p>
        </w:tc>
        <w:tc>
          <w:tcPr>
            <w:tcW w:w="1276" w:type="dxa"/>
          </w:tcPr>
          <w:p w14:paraId="4C3949CB" w14:textId="77777777" w:rsidR="00EC6893" w:rsidRPr="002023B0" w:rsidRDefault="00EC6893" w:rsidP="00EC6893">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18,63 %</w:t>
            </w:r>
          </w:p>
        </w:tc>
        <w:tc>
          <w:tcPr>
            <w:tcW w:w="4111" w:type="dxa"/>
          </w:tcPr>
          <w:p w14:paraId="4CD0DD04" w14:textId="77777777" w:rsidR="00DF157C" w:rsidRPr="002023B0" w:rsidRDefault="00DF157C" w:rsidP="00EC6893">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03BBCE5B" w14:textId="2A077ACE" w:rsidR="00EC6893" w:rsidRPr="002023B0" w:rsidRDefault="00EC6893" w:rsidP="00EC6893">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DF157C" w:rsidRPr="002023B0" w14:paraId="69B38F06" w14:textId="77777777" w:rsidTr="00EC6893">
        <w:tc>
          <w:tcPr>
            <w:tcW w:w="3544" w:type="dxa"/>
          </w:tcPr>
          <w:p w14:paraId="217D726A"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kosztu środków chemicznych</w:t>
            </w:r>
          </w:p>
        </w:tc>
        <w:tc>
          <w:tcPr>
            <w:tcW w:w="1276" w:type="dxa"/>
          </w:tcPr>
          <w:p w14:paraId="649B01EE"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5EAF56E4" w14:textId="3D1805AA"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07A540CC" w14:textId="7BFEF17F"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DF157C" w:rsidRPr="002023B0" w14:paraId="5E09875B" w14:textId="77777777" w:rsidTr="00EC6893">
        <w:tc>
          <w:tcPr>
            <w:tcW w:w="3544" w:type="dxa"/>
          </w:tcPr>
          <w:p w14:paraId="2882CCDF"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kosztu materiałów higienicznych</w:t>
            </w:r>
          </w:p>
        </w:tc>
        <w:tc>
          <w:tcPr>
            <w:tcW w:w="1276" w:type="dxa"/>
          </w:tcPr>
          <w:p w14:paraId="3CFA4BDF"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778DB8A6" w14:textId="552052EA"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12F1B716" w14:textId="7E838BF8"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DF157C" w:rsidRPr="002023B0" w14:paraId="008A98AF" w14:textId="77777777" w:rsidTr="00EC6893">
        <w:tc>
          <w:tcPr>
            <w:tcW w:w="3544" w:type="dxa"/>
          </w:tcPr>
          <w:p w14:paraId="2E9A8906"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transportu środków chemicznych i materiałów higienicznych</w:t>
            </w:r>
          </w:p>
        </w:tc>
        <w:tc>
          <w:tcPr>
            <w:tcW w:w="1276" w:type="dxa"/>
          </w:tcPr>
          <w:p w14:paraId="79877249"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75684622" w14:textId="6BC243BC"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3C576A02" w14:textId="179DAC98"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DF157C" w:rsidRPr="002023B0" w14:paraId="0878605A" w14:textId="77777777" w:rsidTr="00EC6893">
        <w:tc>
          <w:tcPr>
            <w:tcW w:w="3544" w:type="dxa"/>
          </w:tcPr>
          <w:p w14:paraId="60102FC3"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płacowych bezpośredniego nadzoru usługi</w:t>
            </w:r>
            <w:r w:rsidR="00C01711" w:rsidRPr="002023B0">
              <w:rPr>
                <w:rFonts w:asciiTheme="minorHAnsi" w:eastAsiaTheme="minorHAnsi" w:hAnsiTheme="minorHAnsi" w:cstheme="minorHAnsi"/>
                <w:i/>
                <w:iCs/>
                <w:sz w:val="24"/>
                <w:szCs w:val="24"/>
                <w:highlight w:val="yellow"/>
              </w:rPr>
              <w:t xml:space="preserve"> – presja płacowa</w:t>
            </w:r>
          </w:p>
        </w:tc>
        <w:tc>
          <w:tcPr>
            <w:tcW w:w="1276" w:type="dxa"/>
          </w:tcPr>
          <w:p w14:paraId="680542E6" w14:textId="77777777" w:rsidR="00DF157C"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18,63%</w:t>
            </w:r>
          </w:p>
        </w:tc>
        <w:tc>
          <w:tcPr>
            <w:tcW w:w="4111" w:type="dxa"/>
          </w:tcPr>
          <w:p w14:paraId="2CE46EE9"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527FB610" w14:textId="16F314AB"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DF157C" w:rsidRPr="002023B0" w14:paraId="5659E31D" w14:textId="77777777" w:rsidTr="00EC6893">
        <w:tc>
          <w:tcPr>
            <w:tcW w:w="3544" w:type="dxa"/>
          </w:tcPr>
          <w:p w14:paraId="0D151CB0" w14:textId="77777777" w:rsidR="00DF157C"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kosztu odzieży personelu liniowego</w:t>
            </w:r>
          </w:p>
        </w:tc>
        <w:tc>
          <w:tcPr>
            <w:tcW w:w="1276" w:type="dxa"/>
          </w:tcPr>
          <w:p w14:paraId="7DFA440E"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17453E53" w14:textId="1FA8A09F"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5674B53E" w14:textId="066CA89C"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F96A8F" w:rsidRPr="002023B0" w14:paraId="1647BD8E" w14:textId="77777777" w:rsidTr="002E0727">
        <w:tc>
          <w:tcPr>
            <w:tcW w:w="3544" w:type="dxa"/>
          </w:tcPr>
          <w:p w14:paraId="516AB656"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highlight w:val="yellow"/>
              </w:rPr>
            </w:pPr>
            <w:r w:rsidRPr="002023B0">
              <w:rPr>
                <w:rFonts w:asciiTheme="minorHAnsi" w:eastAsiaTheme="minorHAnsi" w:hAnsiTheme="minorHAnsi" w:cstheme="minorHAnsi"/>
                <w:b/>
                <w:i/>
                <w:iCs/>
                <w:sz w:val="24"/>
                <w:szCs w:val="24"/>
                <w:highlight w:val="yellow"/>
              </w:rPr>
              <w:t>Łączna wartość wzrostu kosztów bezpośrednich realizacji usługi</w:t>
            </w:r>
          </w:p>
        </w:tc>
        <w:tc>
          <w:tcPr>
            <w:tcW w:w="5387" w:type="dxa"/>
            <w:gridSpan w:val="2"/>
          </w:tcPr>
          <w:p w14:paraId="05E1E32D"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highlight w:val="yellow"/>
              </w:rPr>
            </w:pPr>
          </w:p>
        </w:tc>
        <w:tc>
          <w:tcPr>
            <w:tcW w:w="1559" w:type="dxa"/>
          </w:tcPr>
          <w:p w14:paraId="45D4F855" w14:textId="118D1CE6"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highlight w:val="yellow"/>
              </w:rPr>
            </w:pPr>
          </w:p>
        </w:tc>
      </w:tr>
      <w:tr w:rsidR="00F96A8F" w:rsidRPr="002023B0" w14:paraId="7DD879B1" w14:textId="77777777" w:rsidTr="00B472EA">
        <w:tc>
          <w:tcPr>
            <w:tcW w:w="10490" w:type="dxa"/>
            <w:gridSpan w:val="4"/>
          </w:tcPr>
          <w:p w14:paraId="593FC0E8"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C01711" w:rsidRPr="002023B0" w14:paraId="23BB1393" w14:textId="77777777" w:rsidTr="00F96A8F">
        <w:tc>
          <w:tcPr>
            <w:tcW w:w="3544" w:type="dxa"/>
            <w:shd w:val="clear" w:color="auto" w:fill="E7E6E6" w:themeFill="background2"/>
          </w:tcPr>
          <w:p w14:paraId="74C16D57" w14:textId="77777777" w:rsidR="00C01711" w:rsidRPr="002023B0" w:rsidRDefault="00C01711" w:rsidP="00C01711">
            <w:pPr>
              <w:rPr>
                <w:b/>
                <w:i/>
                <w:iCs/>
                <w:highlight w:val="yellow"/>
              </w:rPr>
            </w:pPr>
            <w:r w:rsidRPr="002023B0">
              <w:rPr>
                <w:b/>
                <w:i/>
                <w:iCs/>
                <w:highlight w:val="yellow"/>
              </w:rPr>
              <w:lastRenderedPageBreak/>
              <w:t>Składnik wzrostu kosztów pośrednich realizacji usługi</w:t>
            </w:r>
          </w:p>
        </w:tc>
        <w:tc>
          <w:tcPr>
            <w:tcW w:w="1276" w:type="dxa"/>
            <w:shd w:val="clear" w:color="auto" w:fill="E7E6E6" w:themeFill="background2"/>
          </w:tcPr>
          <w:p w14:paraId="3B8C8E21" w14:textId="77777777" w:rsidR="00C01711" w:rsidRPr="002023B0" w:rsidRDefault="00C01711" w:rsidP="00C01711">
            <w:pPr>
              <w:rPr>
                <w:b/>
                <w:i/>
                <w:iCs/>
                <w:highlight w:val="yellow"/>
              </w:rPr>
            </w:pPr>
            <w:r w:rsidRPr="002023B0">
              <w:rPr>
                <w:b/>
                <w:i/>
                <w:iCs/>
                <w:highlight w:val="yellow"/>
              </w:rPr>
              <w:t>% wzrostu</w:t>
            </w:r>
          </w:p>
        </w:tc>
        <w:tc>
          <w:tcPr>
            <w:tcW w:w="4111" w:type="dxa"/>
            <w:shd w:val="clear" w:color="auto" w:fill="E7E6E6" w:themeFill="background2"/>
          </w:tcPr>
          <w:p w14:paraId="1A3554A4" w14:textId="3C451C79" w:rsidR="00C01711" w:rsidRPr="002023B0" w:rsidRDefault="00C01711" w:rsidP="00C01711">
            <w:pPr>
              <w:rPr>
                <w:b/>
                <w:i/>
                <w:iCs/>
                <w:highlight w:val="yellow"/>
              </w:rPr>
            </w:pPr>
            <w:r w:rsidRPr="002023B0">
              <w:rPr>
                <w:b/>
                <w:i/>
                <w:iCs/>
                <w:highlight w:val="yellow"/>
              </w:rPr>
              <w:t>Wskaźnik cen towarów i usług konsumpcyjnych w sier</w:t>
            </w:r>
            <w:r w:rsidR="00A4091E" w:rsidRPr="002023B0">
              <w:rPr>
                <w:b/>
                <w:i/>
                <w:iCs/>
                <w:highlight w:val="yellow"/>
              </w:rPr>
              <w:t>pniu 2023 roku (Załącznik</w:t>
            </w:r>
            <w:r w:rsidR="00AC5AE8">
              <w:rPr>
                <w:b/>
                <w:i/>
                <w:iCs/>
                <w:highlight w:val="yellow"/>
              </w:rPr>
              <w:t>:</w:t>
            </w:r>
            <w:r w:rsidR="00A4091E" w:rsidRPr="002023B0">
              <w:rPr>
                <w:b/>
                <w:i/>
                <w:iCs/>
                <w:highlight w:val="yellow"/>
              </w:rPr>
              <w:t xml:space="preserve"> Tablica nr 2</w:t>
            </w:r>
            <w:r w:rsidRPr="002023B0">
              <w:rPr>
                <w:b/>
                <w:i/>
                <w:iCs/>
                <w:highlight w:val="yellow"/>
              </w:rPr>
              <w:t xml:space="preserve"> GUS)</w:t>
            </w:r>
          </w:p>
        </w:tc>
        <w:tc>
          <w:tcPr>
            <w:tcW w:w="1559" w:type="dxa"/>
            <w:shd w:val="clear" w:color="auto" w:fill="E7E6E6" w:themeFill="background2"/>
          </w:tcPr>
          <w:p w14:paraId="0AFCEA74" w14:textId="77777777" w:rsidR="00C01711" w:rsidRPr="002023B0" w:rsidRDefault="00C01711" w:rsidP="00C01711">
            <w:pPr>
              <w:rPr>
                <w:b/>
                <w:i/>
                <w:iCs/>
                <w:highlight w:val="yellow"/>
              </w:rPr>
            </w:pPr>
            <w:r w:rsidRPr="002023B0">
              <w:rPr>
                <w:b/>
                <w:i/>
                <w:iCs/>
                <w:highlight w:val="yellow"/>
              </w:rPr>
              <w:t>Wartość wzrostu kosztu netto</w:t>
            </w:r>
          </w:p>
        </w:tc>
      </w:tr>
      <w:tr w:rsidR="00DF157C" w:rsidRPr="002023B0" w14:paraId="3F8B021E" w14:textId="77777777" w:rsidTr="00EC6893">
        <w:tc>
          <w:tcPr>
            <w:tcW w:w="3544" w:type="dxa"/>
          </w:tcPr>
          <w:p w14:paraId="5AEAA10D" w14:textId="77777777" w:rsidR="00DF157C"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kosztu wynajmu powierzchni biurowych</w:t>
            </w:r>
            <w:r w:rsidR="0034748C" w:rsidRPr="002023B0">
              <w:rPr>
                <w:rFonts w:asciiTheme="minorHAnsi" w:eastAsiaTheme="minorHAnsi" w:hAnsiTheme="minorHAnsi" w:cstheme="minorHAnsi"/>
                <w:i/>
                <w:iCs/>
                <w:sz w:val="24"/>
                <w:szCs w:val="24"/>
                <w:highlight w:val="yellow"/>
              </w:rPr>
              <w:t xml:space="preserve"> dla operacyjnych służb regionalnych oraz działów: kadr, płac, rekrutacji, księgowości</w:t>
            </w:r>
            <w:r w:rsidR="000F73D1" w:rsidRPr="002023B0">
              <w:rPr>
                <w:rFonts w:asciiTheme="minorHAnsi" w:eastAsiaTheme="minorHAnsi" w:hAnsiTheme="minorHAnsi" w:cstheme="minorHAnsi"/>
                <w:i/>
                <w:iCs/>
                <w:sz w:val="24"/>
                <w:szCs w:val="24"/>
                <w:highlight w:val="yellow"/>
              </w:rPr>
              <w:t>, finansów</w:t>
            </w:r>
          </w:p>
        </w:tc>
        <w:tc>
          <w:tcPr>
            <w:tcW w:w="1276" w:type="dxa"/>
          </w:tcPr>
          <w:p w14:paraId="763167D4"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3F65BAEA" w14:textId="6037159D" w:rsidR="0034748C"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3CC07D12" w14:textId="316BC0C2"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DF157C" w:rsidRPr="002023B0" w14:paraId="4AF068FA" w14:textId="77777777" w:rsidTr="00EC6893">
        <w:tc>
          <w:tcPr>
            <w:tcW w:w="3544" w:type="dxa"/>
          </w:tcPr>
          <w:p w14:paraId="52DD05ED" w14:textId="77777777" w:rsidR="00DF157C"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kosztu energii elektrycznej</w:t>
            </w:r>
          </w:p>
        </w:tc>
        <w:tc>
          <w:tcPr>
            <w:tcW w:w="1276" w:type="dxa"/>
          </w:tcPr>
          <w:p w14:paraId="04392473" w14:textId="77777777"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44EFAE9E" w14:textId="1E1F7293" w:rsidR="0034748C"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3A0AC9E7" w14:textId="0DCEA3ED" w:rsidR="00DF157C" w:rsidRPr="002023B0" w:rsidRDefault="00DF157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C01711" w:rsidRPr="002023B0" w14:paraId="5E10AE6A" w14:textId="77777777" w:rsidTr="00EC6893">
        <w:tc>
          <w:tcPr>
            <w:tcW w:w="3544" w:type="dxa"/>
          </w:tcPr>
          <w:p w14:paraId="03F8124B" w14:textId="77777777" w:rsidR="00C01711"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energii cieplnej</w:t>
            </w:r>
          </w:p>
        </w:tc>
        <w:tc>
          <w:tcPr>
            <w:tcW w:w="1276" w:type="dxa"/>
          </w:tcPr>
          <w:p w14:paraId="5EE2880F" w14:textId="77777777"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643E1DAA" w14:textId="7F07828A" w:rsidR="0034748C"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3E04ED4E" w14:textId="4B737F95"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C01711" w:rsidRPr="002023B0" w14:paraId="20911ED0" w14:textId="77777777" w:rsidTr="00EC6893">
        <w:tc>
          <w:tcPr>
            <w:tcW w:w="3544" w:type="dxa"/>
          </w:tcPr>
          <w:p w14:paraId="40FFF39F" w14:textId="77777777" w:rsidR="00C01711"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łączności</w:t>
            </w:r>
          </w:p>
        </w:tc>
        <w:tc>
          <w:tcPr>
            <w:tcW w:w="1276" w:type="dxa"/>
          </w:tcPr>
          <w:p w14:paraId="3631EFCE" w14:textId="77777777"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33EED2C9" w14:textId="41A33D5B" w:rsidR="0034748C"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6C1945A1" w14:textId="28F251B8"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C01711" w:rsidRPr="002023B0" w14:paraId="55E76EEB" w14:textId="77777777" w:rsidTr="00EC6893">
        <w:tc>
          <w:tcPr>
            <w:tcW w:w="3544" w:type="dxa"/>
          </w:tcPr>
          <w:p w14:paraId="7A57C5A2" w14:textId="77777777" w:rsidR="00C01711"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finansowania realizacji usługi z odroczonym terminem płatności</w:t>
            </w:r>
          </w:p>
        </w:tc>
        <w:tc>
          <w:tcPr>
            <w:tcW w:w="1276" w:type="dxa"/>
          </w:tcPr>
          <w:p w14:paraId="1445E146" w14:textId="77777777"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4111" w:type="dxa"/>
          </w:tcPr>
          <w:p w14:paraId="457A2629" w14:textId="27B99A2D" w:rsidR="0034748C"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7A16C098" w14:textId="7335CA78"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C01711" w:rsidRPr="002023B0" w14:paraId="68F0390B" w14:textId="77777777" w:rsidTr="00EC6893">
        <w:tc>
          <w:tcPr>
            <w:tcW w:w="3544" w:type="dxa"/>
          </w:tcPr>
          <w:p w14:paraId="2A971633" w14:textId="77777777" w:rsidR="00C01711" w:rsidRPr="002023B0" w:rsidRDefault="0034748C"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Wzrost kosztów płacowych</w:t>
            </w:r>
            <w:r w:rsidR="000F73D1" w:rsidRPr="002023B0">
              <w:rPr>
                <w:rFonts w:asciiTheme="minorHAnsi" w:eastAsiaTheme="minorHAnsi" w:hAnsiTheme="minorHAnsi" w:cstheme="minorHAnsi"/>
                <w:i/>
                <w:iCs/>
                <w:sz w:val="24"/>
                <w:szCs w:val="24"/>
                <w:highlight w:val="yellow"/>
              </w:rPr>
              <w:t xml:space="preserve"> kadry pośredniej służb: kadr, płac, rekrutacji, księgowości, finansów – presja płacowa</w:t>
            </w:r>
          </w:p>
        </w:tc>
        <w:tc>
          <w:tcPr>
            <w:tcW w:w="1276" w:type="dxa"/>
          </w:tcPr>
          <w:p w14:paraId="013B5A6E" w14:textId="77777777" w:rsidR="00C01711" w:rsidRPr="002023B0" w:rsidRDefault="000F73D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r w:rsidRPr="002023B0">
              <w:rPr>
                <w:rFonts w:asciiTheme="minorHAnsi" w:eastAsiaTheme="minorHAnsi" w:hAnsiTheme="minorHAnsi" w:cstheme="minorHAnsi"/>
                <w:i/>
                <w:iCs/>
                <w:sz w:val="24"/>
                <w:szCs w:val="24"/>
                <w:highlight w:val="yellow"/>
              </w:rPr>
              <w:t>18,63%</w:t>
            </w:r>
          </w:p>
        </w:tc>
        <w:tc>
          <w:tcPr>
            <w:tcW w:w="4111" w:type="dxa"/>
          </w:tcPr>
          <w:p w14:paraId="5D08CE67" w14:textId="77777777"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c>
          <w:tcPr>
            <w:tcW w:w="1559" w:type="dxa"/>
          </w:tcPr>
          <w:p w14:paraId="35E33836" w14:textId="71A55A7F" w:rsidR="00C01711" w:rsidRPr="002023B0" w:rsidRDefault="00C01711"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F96A8F" w:rsidRPr="002023B0" w14:paraId="2F961C69" w14:textId="77777777" w:rsidTr="008E64C5">
        <w:tc>
          <w:tcPr>
            <w:tcW w:w="3544" w:type="dxa"/>
          </w:tcPr>
          <w:p w14:paraId="62C95B7F"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highlight w:val="yellow"/>
              </w:rPr>
            </w:pPr>
            <w:r w:rsidRPr="002023B0">
              <w:rPr>
                <w:rFonts w:asciiTheme="minorHAnsi" w:eastAsiaTheme="minorHAnsi" w:hAnsiTheme="minorHAnsi" w:cstheme="minorHAnsi"/>
                <w:b/>
                <w:i/>
                <w:iCs/>
                <w:sz w:val="24"/>
                <w:szCs w:val="24"/>
                <w:highlight w:val="yellow"/>
              </w:rPr>
              <w:t>Łączna warto</w:t>
            </w:r>
            <w:r w:rsidR="00B272C3" w:rsidRPr="002023B0">
              <w:rPr>
                <w:rFonts w:asciiTheme="minorHAnsi" w:eastAsiaTheme="minorHAnsi" w:hAnsiTheme="minorHAnsi" w:cstheme="minorHAnsi"/>
                <w:b/>
                <w:i/>
                <w:iCs/>
                <w:sz w:val="24"/>
                <w:szCs w:val="24"/>
                <w:highlight w:val="yellow"/>
              </w:rPr>
              <w:t>ść wzrostu kosztów pośrednich</w:t>
            </w:r>
            <w:r w:rsidRPr="002023B0">
              <w:rPr>
                <w:rFonts w:asciiTheme="minorHAnsi" w:eastAsiaTheme="minorHAnsi" w:hAnsiTheme="minorHAnsi" w:cstheme="minorHAnsi"/>
                <w:b/>
                <w:i/>
                <w:iCs/>
                <w:sz w:val="24"/>
                <w:szCs w:val="24"/>
                <w:highlight w:val="yellow"/>
              </w:rPr>
              <w:t xml:space="preserve"> realizacji usługi</w:t>
            </w:r>
          </w:p>
        </w:tc>
        <w:tc>
          <w:tcPr>
            <w:tcW w:w="5387" w:type="dxa"/>
            <w:gridSpan w:val="2"/>
          </w:tcPr>
          <w:p w14:paraId="61C804AE"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highlight w:val="yellow"/>
              </w:rPr>
            </w:pPr>
          </w:p>
        </w:tc>
        <w:tc>
          <w:tcPr>
            <w:tcW w:w="1559" w:type="dxa"/>
          </w:tcPr>
          <w:p w14:paraId="5168767B" w14:textId="6F8DB28B"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highlight w:val="yellow"/>
              </w:rPr>
            </w:pPr>
          </w:p>
        </w:tc>
      </w:tr>
      <w:tr w:rsidR="00F96A8F" w:rsidRPr="002023B0" w14:paraId="4201E2D8" w14:textId="77777777" w:rsidTr="00D4039A">
        <w:tc>
          <w:tcPr>
            <w:tcW w:w="10490" w:type="dxa"/>
            <w:gridSpan w:val="4"/>
          </w:tcPr>
          <w:p w14:paraId="2CCCA5D0"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i/>
                <w:iCs/>
                <w:sz w:val="24"/>
                <w:szCs w:val="24"/>
                <w:highlight w:val="yellow"/>
              </w:rPr>
            </w:pPr>
          </w:p>
        </w:tc>
      </w:tr>
      <w:tr w:rsidR="00F96A8F" w:rsidRPr="002023B0" w14:paraId="3476567B" w14:textId="77777777" w:rsidTr="00520898">
        <w:tc>
          <w:tcPr>
            <w:tcW w:w="3544" w:type="dxa"/>
          </w:tcPr>
          <w:p w14:paraId="5D6860D8"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rPr>
            </w:pPr>
            <w:r w:rsidRPr="002023B0">
              <w:rPr>
                <w:rFonts w:asciiTheme="minorHAnsi" w:eastAsiaTheme="minorHAnsi" w:hAnsiTheme="minorHAnsi" w:cstheme="minorHAnsi"/>
                <w:b/>
                <w:i/>
                <w:iCs/>
                <w:sz w:val="24"/>
                <w:szCs w:val="24"/>
                <w:highlight w:val="yellow"/>
              </w:rPr>
              <w:t>Suma: Łączna wartość wzrostu kosztów bezpośrednich i pośrednich realizacji usługi</w:t>
            </w:r>
          </w:p>
        </w:tc>
        <w:tc>
          <w:tcPr>
            <w:tcW w:w="5387" w:type="dxa"/>
            <w:gridSpan w:val="2"/>
          </w:tcPr>
          <w:p w14:paraId="08581949" w14:textId="77777777"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rPr>
            </w:pPr>
          </w:p>
        </w:tc>
        <w:tc>
          <w:tcPr>
            <w:tcW w:w="1559" w:type="dxa"/>
          </w:tcPr>
          <w:p w14:paraId="36CEBEB1" w14:textId="6F0F1A2A" w:rsidR="00F96A8F" w:rsidRPr="002023B0" w:rsidRDefault="00F96A8F" w:rsidP="00DF157C">
            <w:pPr>
              <w:autoSpaceDE w:val="0"/>
              <w:autoSpaceDN w:val="0"/>
              <w:adjustRightInd w:val="0"/>
              <w:spacing w:after="0" w:line="240" w:lineRule="auto"/>
              <w:rPr>
                <w:rFonts w:asciiTheme="minorHAnsi" w:eastAsiaTheme="minorHAnsi" w:hAnsiTheme="minorHAnsi" w:cstheme="minorHAnsi"/>
                <w:b/>
                <w:i/>
                <w:iCs/>
                <w:sz w:val="24"/>
                <w:szCs w:val="24"/>
              </w:rPr>
            </w:pPr>
          </w:p>
        </w:tc>
      </w:tr>
    </w:tbl>
    <w:p w14:paraId="3AE07FC8" w14:textId="77777777" w:rsidR="007B0410" w:rsidRPr="00A94A7B" w:rsidRDefault="007B0410" w:rsidP="00A37BAC">
      <w:pPr>
        <w:autoSpaceDE w:val="0"/>
        <w:autoSpaceDN w:val="0"/>
        <w:adjustRightInd w:val="0"/>
        <w:spacing w:after="0" w:line="360" w:lineRule="auto"/>
        <w:jc w:val="both"/>
        <w:rPr>
          <w:rFonts w:asciiTheme="minorHAnsi" w:eastAsiaTheme="minorHAnsi" w:hAnsiTheme="minorHAnsi" w:cstheme="minorHAnsi"/>
          <w:sz w:val="24"/>
          <w:szCs w:val="24"/>
        </w:rPr>
      </w:pPr>
    </w:p>
    <w:p w14:paraId="654659F7" w14:textId="77777777" w:rsidR="00A37BAC" w:rsidRDefault="00A37BAC" w:rsidP="00A37BAC">
      <w:pPr>
        <w:autoSpaceDE w:val="0"/>
        <w:autoSpaceDN w:val="0"/>
        <w:adjustRightInd w:val="0"/>
        <w:spacing w:after="0" w:line="240" w:lineRule="auto"/>
        <w:rPr>
          <w:rFonts w:asciiTheme="minorHAnsi" w:hAnsiTheme="minorHAnsi" w:cstheme="minorHAnsi"/>
          <w:sz w:val="24"/>
          <w:szCs w:val="24"/>
        </w:rPr>
      </w:pPr>
    </w:p>
    <w:p w14:paraId="56F654E3" w14:textId="065ED118" w:rsidR="00A37BAC" w:rsidRDefault="0026644B" w:rsidP="00A37BAC">
      <w:pPr>
        <w:autoSpaceDE w:val="0"/>
        <w:autoSpaceDN w:val="0"/>
        <w:adjustRightInd w:val="0"/>
        <w:spacing w:after="0" w:line="360" w:lineRule="auto"/>
        <w:ind w:firstLine="708"/>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Ze względu na powyższe wzrosty kosztów, </w:t>
      </w:r>
      <w:r w:rsidR="00A37BAC" w:rsidRPr="006C149C">
        <w:rPr>
          <w:rFonts w:asciiTheme="minorHAnsi" w:eastAsiaTheme="minorHAnsi" w:hAnsiTheme="minorHAnsi" w:cstheme="minorHAnsi"/>
          <w:sz w:val="24"/>
          <w:szCs w:val="24"/>
        </w:rPr>
        <w:t>konieczne jest urealnienie wartości usługi świadczonej na Państwa rzecz. B</w:t>
      </w:r>
      <w:r w:rsidR="002A55CA">
        <w:rPr>
          <w:rFonts w:asciiTheme="minorHAnsi" w:eastAsiaTheme="minorHAnsi" w:hAnsiTheme="minorHAnsi" w:cstheme="minorHAnsi"/>
          <w:sz w:val="24"/>
          <w:szCs w:val="24"/>
        </w:rPr>
        <w:t>ieżąca miesięczna, sumaryczna wartość usług</w:t>
      </w:r>
      <w:r w:rsidR="00A37BAC" w:rsidRPr="006C149C">
        <w:rPr>
          <w:rFonts w:asciiTheme="minorHAnsi" w:eastAsiaTheme="minorHAnsi" w:hAnsiTheme="minorHAnsi" w:cstheme="minorHAnsi"/>
          <w:sz w:val="24"/>
          <w:szCs w:val="24"/>
        </w:rPr>
        <w:t xml:space="preserve"> </w:t>
      </w:r>
      <w:r w:rsidR="002A55CA">
        <w:rPr>
          <w:rFonts w:asciiTheme="minorHAnsi" w:eastAsiaTheme="minorHAnsi" w:hAnsiTheme="minorHAnsi" w:cstheme="minorHAnsi"/>
          <w:sz w:val="24"/>
          <w:szCs w:val="24"/>
        </w:rPr>
        <w:t xml:space="preserve">wynikająca z zapisów umowy </w:t>
      </w:r>
      <w:r w:rsidR="00871EC7">
        <w:rPr>
          <w:rFonts w:asciiTheme="minorHAnsi" w:eastAsiaTheme="minorHAnsi" w:hAnsiTheme="minorHAnsi" w:cstheme="minorHAnsi"/>
          <w:sz w:val="24"/>
          <w:szCs w:val="24"/>
        </w:rPr>
        <w:t xml:space="preserve">wynosi </w:t>
      </w:r>
      <w:r w:rsidR="002023B0">
        <w:rPr>
          <w:rFonts w:asciiTheme="minorHAnsi" w:eastAsiaTheme="minorHAnsi" w:hAnsiTheme="minorHAnsi" w:cstheme="minorHAnsi"/>
          <w:sz w:val="24"/>
          <w:szCs w:val="24"/>
        </w:rPr>
        <w:t>……………….</w:t>
      </w:r>
      <w:r w:rsidR="00A37BAC" w:rsidRPr="006C149C">
        <w:rPr>
          <w:rFonts w:asciiTheme="minorHAnsi" w:eastAsiaTheme="minorHAnsi" w:hAnsiTheme="minorHAnsi" w:cstheme="minorHAnsi"/>
          <w:sz w:val="24"/>
          <w:szCs w:val="24"/>
        </w:rPr>
        <w:t xml:space="preserve"> PLN netto. Wnioskuj</w:t>
      </w:r>
      <w:r w:rsidR="00AC40BE">
        <w:rPr>
          <w:rFonts w:asciiTheme="minorHAnsi" w:eastAsiaTheme="minorHAnsi" w:hAnsiTheme="minorHAnsi" w:cstheme="minorHAnsi"/>
          <w:sz w:val="24"/>
          <w:szCs w:val="24"/>
        </w:rPr>
        <w:t>emy</w:t>
      </w:r>
      <w:r w:rsidR="00A37BAC" w:rsidRPr="006C149C">
        <w:rPr>
          <w:rFonts w:asciiTheme="minorHAnsi" w:eastAsiaTheme="minorHAnsi" w:hAnsiTheme="minorHAnsi" w:cstheme="minorHAnsi"/>
          <w:sz w:val="24"/>
          <w:szCs w:val="24"/>
        </w:rPr>
        <w:t xml:space="preserve"> o wzr</w:t>
      </w:r>
      <w:r w:rsidR="00871EC7">
        <w:rPr>
          <w:rFonts w:asciiTheme="minorHAnsi" w:eastAsiaTheme="minorHAnsi" w:hAnsiTheme="minorHAnsi" w:cstheme="minorHAnsi"/>
          <w:sz w:val="24"/>
          <w:szCs w:val="24"/>
        </w:rPr>
        <w:t>ost miesięcznej wartości od 1 stycznia 2024</w:t>
      </w:r>
      <w:r w:rsidR="00A37BAC" w:rsidRPr="006C149C">
        <w:rPr>
          <w:rFonts w:asciiTheme="minorHAnsi" w:eastAsiaTheme="minorHAnsi" w:hAnsiTheme="minorHAnsi" w:cstheme="minorHAnsi"/>
          <w:sz w:val="24"/>
          <w:szCs w:val="24"/>
        </w:rPr>
        <w:t xml:space="preserve"> </w:t>
      </w:r>
      <w:r w:rsidR="00A53A33">
        <w:rPr>
          <w:rFonts w:asciiTheme="minorHAnsi" w:eastAsiaTheme="minorHAnsi" w:hAnsiTheme="minorHAnsi" w:cstheme="minorHAnsi"/>
          <w:sz w:val="24"/>
          <w:szCs w:val="24"/>
        </w:rPr>
        <w:t xml:space="preserve">r. </w:t>
      </w:r>
      <w:r w:rsidR="00A37BAC" w:rsidRPr="006C149C">
        <w:rPr>
          <w:rFonts w:asciiTheme="minorHAnsi" w:eastAsiaTheme="minorHAnsi" w:hAnsiTheme="minorHAnsi" w:cstheme="minorHAnsi"/>
          <w:sz w:val="24"/>
          <w:szCs w:val="24"/>
        </w:rPr>
        <w:t xml:space="preserve">o </w:t>
      </w:r>
      <w:r w:rsidR="002023B0">
        <w:rPr>
          <w:rFonts w:asciiTheme="minorHAnsi" w:eastAsiaTheme="minorHAnsi" w:hAnsiTheme="minorHAnsi" w:cstheme="minorHAnsi"/>
          <w:sz w:val="24"/>
          <w:szCs w:val="24"/>
        </w:rPr>
        <w:t>……………</w:t>
      </w:r>
      <w:r w:rsidR="00871EC7">
        <w:rPr>
          <w:rFonts w:asciiTheme="minorHAnsi" w:eastAsiaTheme="minorHAnsi" w:hAnsiTheme="minorHAnsi" w:cstheme="minorHAnsi"/>
          <w:sz w:val="24"/>
          <w:szCs w:val="24"/>
        </w:rPr>
        <w:t xml:space="preserve">netto do kwoty </w:t>
      </w:r>
      <w:r w:rsidR="002023B0">
        <w:rPr>
          <w:rFonts w:asciiTheme="minorHAnsi" w:eastAsiaTheme="minorHAnsi" w:hAnsiTheme="minorHAnsi" w:cstheme="minorHAnsi"/>
          <w:sz w:val="24"/>
          <w:szCs w:val="24"/>
        </w:rPr>
        <w:t>…………….</w:t>
      </w:r>
      <w:r w:rsidR="00A37BAC" w:rsidRPr="006C149C">
        <w:rPr>
          <w:rFonts w:asciiTheme="minorHAnsi" w:eastAsiaTheme="minorHAnsi" w:hAnsiTheme="minorHAnsi" w:cstheme="minorHAnsi"/>
          <w:sz w:val="24"/>
          <w:szCs w:val="24"/>
        </w:rPr>
        <w:t xml:space="preserve"> netto</w:t>
      </w:r>
      <w:r w:rsidR="00A37BAC">
        <w:rPr>
          <w:rFonts w:asciiTheme="minorHAnsi" w:eastAsiaTheme="minorHAnsi" w:hAnsiTheme="minorHAnsi" w:cstheme="minorHAnsi"/>
          <w:sz w:val="24"/>
          <w:szCs w:val="24"/>
        </w:rPr>
        <w:t>.</w:t>
      </w:r>
    </w:p>
    <w:p w14:paraId="2916D83D" w14:textId="77777777" w:rsidR="002023B0" w:rsidRDefault="00A37BAC" w:rsidP="002023B0">
      <w:pPr>
        <w:autoSpaceDE w:val="0"/>
        <w:autoSpaceDN w:val="0"/>
        <w:adjustRightInd w:val="0"/>
        <w:spacing w:after="0" w:line="360" w:lineRule="auto"/>
        <w:jc w:val="both"/>
        <w:rPr>
          <w:rFonts w:asciiTheme="minorHAnsi" w:eastAsiaTheme="minorHAnsi" w:hAnsiTheme="minorHAnsi" w:cstheme="minorHAnsi"/>
          <w:sz w:val="24"/>
          <w:szCs w:val="24"/>
        </w:rPr>
      </w:pPr>
      <w:r w:rsidRPr="006C149C">
        <w:rPr>
          <w:rFonts w:asciiTheme="minorHAnsi" w:eastAsiaTheme="minorHAnsi" w:hAnsiTheme="minorHAnsi" w:cstheme="minorHAnsi"/>
          <w:sz w:val="24"/>
          <w:szCs w:val="24"/>
        </w:rPr>
        <w:t xml:space="preserve"> </w:t>
      </w:r>
    </w:p>
    <w:p w14:paraId="3F5F7D6E" w14:textId="7E8840FC" w:rsidR="00A37BAC" w:rsidRPr="006C149C" w:rsidRDefault="002023B0" w:rsidP="002023B0">
      <w:pPr>
        <w:autoSpaceDE w:val="0"/>
        <w:autoSpaceDN w:val="0"/>
        <w:adjustRightInd w:val="0"/>
        <w:spacing w:after="0" w:line="360" w:lineRule="auto"/>
        <w:ind w:firstLine="708"/>
        <w:jc w:val="both"/>
        <w:rPr>
          <w:rFonts w:asciiTheme="minorHAnsi" w:eastAsiaTheme="minorHAnsi" w:hAnsiTheme="minorHAnsi" w:cstheme="minorHAnsi"/>
          <w:i/>
          <w:iCs/>
          <w:sz w:val="24"/>
          <w:szCs w:val="24"/>
        </w:rPr>
      </w:pPr>
      <w:r>
        <w:rPr>
          <w:rFonts w:asciiTheme="minorHAnsi" w:eastAsiaTheme="minorHAnsi" w:hAnsiTheme="minorHAnsi" w:cstheme="minorHAnsi"/>
          <w:sz w:val="24"/>
          <w:szCs w:val="24"/>
        </w:rPr>
        <w:t>P</w:t>
      </w:r>
      <w:r w:rsidR="00A37BAC" w:rsidRPr="006C149C">
        <w:rPr>
          <w:rFonts w:asciiTheme="minorHAnsi" w:eastAsiaTheme="minorHAnsi" w:hAnsiTheme="minorHAnsi" w:cstheme="minorHAnsi"/>
          <w:sz w:val="24"/>
          <w:szCs w:val="24"/>
        </w:rPr>
        <w:t>odstaw</w:t>
      </w:r>
      <w:r>
        <w:rPr>
          <w:rFonts w:asciiTheme="minorHAnsi" w:eastAsiaTheme="minorHAnsi" w:hAnsiTheme="minorHAnsi" w:cstheme="minorHAnsi"/>
          <w:sz w:val="24"/>
          <w:szCs w:val="24"/>
        </w:rPr>
        <w:t>ą</w:t>
      </w:r>
      <w:r w:rsidR="00A37BAC" w:rsidRPr="006C149C">
        <w:rPr>
          <w:rFonts w:asciiTheme="minorHAnsi" w:eastAsiaTheme="minorHAnsi" w:hAnsiTheme="minorHAnsi" w:cstheme="minorHAnsi"/>
          <w:sz w:val="24"/>
          <w:szCs w:val="24"/>
        </w:rPr>
        <w:t xml:space="preserve"> prawn</w:t>
      </w:r>
      <w:r>
        <w:rPr>
          <w:rFonts w:asciiTheme="minorHAnsi" w:eastAsiaTheme="minorHAnsi" w:hAnsiTheme="minorHAnsi" w:cstheme="minorHAnsi"/>
          <w:sz w:val="24"/>
          <w:szCs w:val="24"/>
        </w:rPr>
        <w:t>ą</w:t>
      </w:r>
      <w:r w:rsidR="00A37BAC" w:rsidRPr="006C149C">
        <w:rPr>
          <w:rFonts w:asciiTheme="minorHAnsi" w:eastAsiaTheme="minorHAnsi" w:hAnsiTheme="minorHAnsi" w:cstheme="minorHAnsi"/>
          <w:sz w:val="24"/>
          <w:szCs w:val="24"/>
        </w:rPr>
        <w:t xml:space="preserve"> umożliwiając</w:t>
      </w:r>
      <w:r>
        <w:rPr>
          <w:rFonts w:asciiTheme="minorHAnsi" w:eastAsiaTheme="minorHAnsi" w:hAnsiTheme="minorHAnsi" w:cstheme="minorHAnsi"/>
          <w:sz w:val="24"/>
          <w:szCs w:val="24"/>
        </w:rPr>
        <w:t>ą</w:t>
      </w:r>
      <w:r w:rsidR="00A37BAC" w:rsidRPr="006C149C">
        <w:rPr>
          <w:rFonts w:asciiTheme="minorHAnsi" w:eastAsiaTheme="minorHAnsi" w:hAnsiTheme="minorHAnsi" w:cstheme="minorHAnsi"/>
          <w:sz w:val="24"/>
          <w:szCs w:val="24"/>
        </w:rPr>
        <w:t xml:space="preserve"> zmianę wynagrodzenia</w:t>
      </w:r>
      <w:r>
        <w:rPr>
          <w:rFonts w:asciiTheme="minorHAnsi" w:eastAsiaTheme="minorHAnsi" w:hAnsiTheme="minorHAnsi" w:cstheme="minorHAnsi"/>
          <w:sz w:val="24"/>
          <w:szCs w:val="24"/>
        </w:rPr>
        <w:t xml:space="preserve"> jest </w:t>
      </w:r>
      <w:r w:rsidR="00A37BAC" w:rsidRPr="006C149C">
        <w:rPr>
          <w:rFonts w:asciiTheme="minorHAnsi" w:eastAsiaTheme="minorHAnsi" w:hAnsiTheme="minorHAnsi" w:cstheme="minorHAnsi"/>
          <w:sz w:val="24"/>
          <w:szCs w:val="24"/>
        </w:rPr>
        <w:t>art. 455 ust. 1 pkt. 4 Prawa Zamówień Publicznych</w:t>
      </w:r>
      <w:r>
        <w:rPr>
          <w:rFonts w:asciiTheme="minorHAnsi" w:eastAsiaTheme="minorHAnsi" w:hAnsiTheme="minorHAnsi" w:cstheme="minorHAnsi"/>
          <w:sz w:val="24"/>
          <w:szCs w:val="24"/>
        </w:rPr>
        <w:t xml:space="preserve"> </w:t>
      </w:r>
      <w:r w:rsidR="00BB5914">
        <w:rPr>
          <w:rFonts w:asciiTheme="minorHAnsi" w:eastAsiaTheme="minorHAnsi" w:hAnsiTheme="minorHAnsi" w:cstheme="minorHAnsi"/>
          <w:sz w:val="24"/>
          <w:szCs w:val="24"/>
        </w:rPr>
        <w:t xml:space="preserve">oraz </w:t>
      </w:r>
      <w:r w:rsidR="00A37BAC" w:rsidRPr="006C149C">
        <w:rPr>
          <w:rFonts w:asciiTheme="minorHAnsi" w:eastAsiaTheme="minorHAnsi" w:hAnsiTheme="minorHAnsi" w:cstheme="minorHAnsi"/>
          <w:sz w:val="24"/>
          <w:szCs w:val="24"/>
        </w:rPr>
        <w:t xml:space="preserve"> </w:t>
      </w:r>
      <w:commentRangeStart w:id="0"/>
      <w:r w:rsidR="00A37BAC" w:rsidRPr="002023B0">
        <w:rPr>
          <w:rFonts w:asciiTheme="minorHAnsi" w:eastAsiaTheme="minorHAnsi" w:hAnsiTheme="minorHAnsi" w:cstheme="minorHAnsi"/>
          <w:sz w:val="24"/>
          <w:szCs w:val="24"/>
          <w:highlight w:val="yellow"/>
        </w:rPr>
        <w:t xml:space="preserve">art. 48 ustawy z dnia 7 października 2022 r. </w:t>
      </w:r>
      <w:r w:rsidR="00A37BAC" w:rsidRPr="002023B0">
        <w:rPr>
          <w:rFonts w:asciiTheme="minorHAnsi" w:eastAsiaTheme="minorHAnsi" w:hAnsiTheme="minorHAnsi" w:cstheme="minorHAnsi"/>
          <w:i/>
          <w:iCs/>
          <w:sz w:val="24"/>
          <w:szCs w:val="24"/>
          <w:highlight w:val="yellow"/>
        </w:rPr>
        <w:t xml:space="preserve">o zmianie niektórych ustaw w celu uproszczenia procedur administracyjnych dla obywateli i przedsiębiorców </w:t>
      </w:r>
      <w:r w:rsidR="00A37BAC" w:rsidRPr="002023B0">
        <w:rPr>
          <w:rFonts w:asciiTheme="minorHAnsi" w:eastAsiaTheme="minorHAnsi" w:hAnsiTheme="minorHAnsi" w:cstheme="minorHAnsi"/>
          <w:sz w:val="24"/>
          <w:szCs w:val="24"/>
          <w:highlight w:val="yellow"/>
        </w:rPr>
        <w:t>(Dz. U. z 2022 r., poz. 2185).</w:t>
      </w:r>
      <w:r w:rsidR="00A37BAC">
        <w:rPr>
          <w:rFonts w:asciiTheme="minorHAnsi" w:eastAsiaTheme="minorHAnsi" w:hAnsiTheme="minorHAnsi" w:cstheme="minorHAnsi"/>
          <w:sz w:val="24"/>
          <w:szCs w:val="24"/>
        </w:rPr>
        <w:t xml:space="preserve"> </w:t>
      </w:r>
      <w:commentRangeEnd w:id="0"/>
      <w:r w:rsidR="00892437">
        <w:rPr>
          <w:rStyle w:val="Odwoaniedokomentarza"/>
        </w:rPr>
        <w:commentReference w:id="0"/>
      </w:r>
    </w:p>
    <w:p w14:paraId="5CCCEB9D" w14:textId="20601491" w:rsidR="00482856" w:rsidRPr="00482856" w:rsidRDefault="00482856" w:rsidP="00B632E3">
      <w:pPr>
        <w:spacing w:after="0" w:line="360" w:lineRule="auto"/>
        <w:ind w:firstLine="708"/>
        <w:jc w:val="both"/>
        <w:rPr>
          <w:rFonts w:eastAsia="Times New Roman" w:cstheme="minorHAnsi"/>
          <w:sz w:val="24"/>
          <w:szCs w:val="24"/>
          <w:lang w:eastAsia="pl-PL"/>
        </w:rPr>
      </w:pPr>
      <w:r w:rsidRPr="00482856">
        <w:rPr>
          <w:sz w:val="24"/>
          <w:szCs w:val="24"/>
        </w:rPr>
        <w:t xml:space="preserve">Z punktu widzenia utrzymania dyscypliny finansów publicznych współpraca z dotychczasowym wykonawcą jest </w:t>
      </w:r>
      <w:r w:rsidR="00B632E3">
        <w:rPr>
          <w:sz w:val="24"/>
          <w:szCs w:val="24"/>
        </w:rPr>
        <w:t xml:space="preserve">uzasadniona i celowa, gdyż jest </w:t>
      </w:r>
      <w:r w:rsidRPr="00482856">
        <w:rPr>
          <w:sz w:val="24"/>
          <w:szCs w:val="24"/>
        </w:rPr>
        <w:t xml:space="preserve">tańsza i efektywniejsza niż nowy przetarg. </w:t>
      </w:r>
      <w:r w:rsidRPr="00482856">
        <w:rPr>
          <w:bCs/>
          <w:sz w:val="24"/>
          <w:szCs w:val="24"/>
        </w:rPr>
        <w:t>To przekonanie wyrazili Prezes Urzędu Zamówień Publicznych i Prokuratoria Generalna RP</w:t>
      </w:r>
      <w:r w:rsidRPr="00482856">
        <w:rPr>
          <w:b/>
          <w:sz w:val="24"/>
          <w:szCs w:val="24"/>
        </w:rPr>
        <w:t>.</w:t>
      </w:r>
      <w:r w:rsidR="00B632E3">
        <w:rPr>
          <w:b/>
          <w:sz w:val="24"/>
          <w:szCs w:val="24"/>
        </w:rPr>
        <w:t xml:space="preserve"> </w:t>
      </w:r>
      <w:r w:rsidR="00B632E3" w:rsidRPr="00B632E3">
        <w:rPr>
          <w:bCs/>
          <w:sz w:val="24"/>
          <w:szCs w:val="24"/>
        </w:rPr>
        <w:t>I tak</w:t>
      </w:r>
      <w:r>
        <w:rPr>
          <w:rFonts w:eastAsia="Times New Roman" w:cstheme="minorHAnsi"/>
          <w:sz w:val="24"/>
          <w:szCs w:val="24"/>
          <w:lang w:eastAsia="pl-PL"/>
        </w:rPr>
        <w:t xml:space="preserve"> </w:t>
      </w:r>
      <w:r w:rsidRPr="00482856">
        <w:rPr>
          <w:rFonts w:eastAsia="Times New Roman" w:cstheme="minorHAnsi"/>
          <w:sz w:val="24"/>
          <w:szCs w:val="24"/>
          <w:lang w:eastAsia="pl-PL"/>
        </w:rPr>
        <w:t>„</w:t>
      </w:r>
      <w:r w:rsidRPr="00482856">
        <w:rPr>
          <w:rFonts w:eastAsia="Times New Roman" w:cstheme="minorHAnsi"/>
          <w:i/>
          <w:iCs/>
          <w:sz w:val="24"/>
          <w:szCs w:val="24"/>
          <w:lang w:eastAsia="pl-PL"/>
        </w:rPr>
        <w:t xml:space="preserve">Prokuratoria Generalna rozumie waloryzację wynagrodzenia jako </w:t>
      </w:r>
      <w:r w:rsidRPr="00482856">
        <w:rPr>
          <w:rFonts w:eastAsia="Times New Roman" w:cstheme="minorHAnsi"/>
          <w:i/>
          <w:iCs/>
          <w:sz w:val="24"/>
          <w:szCs w:val="24"/>
          <w:lang w:eastAsia="pl-PL"/>
        </w:rPr>
        <w:lastRenderedPageBreak/>
        <w:t xml:space="preserve">urealnienie wynagrodzenia wykonawcy z uwagi na wzrost cen materiałów lub innych kosztów niezbędnych do realizacji umowy, który skutkuje powstaniem znacznej nierównowagi ekonomicznej stron umowy. Wobec ryzyka występowania zjawisk trudnych lub nawet niemożliwych do przewidzenia na etapie zawierania umowy, a mających przemożny wpływ na procesy gospodarcze (np. konflikt zbrojny, pandemia), stosowanie mechanizmów waloryzacji wynagrodzenia jest w wielu </w:t>
      </w:r>
      <w:r w:rsidRPr="00482856">
        <w:rPr>
          <w:rFonts w:eastAsia="Times New Roman" w:cstheme="minorHAnsi"/>
          <w:bCs/>
          <w:i/>
          <w:iCs/>
          <w:sz w:val="24"/>
          <w:szCs w:val="24"/>
          <w:lang w:eastAsia="pl-PL"/>
        </w:rPr>
        <w:t>przypadkach uzasadnione, a wręcz konieczne</w:t>
      </w:r>
      <w:r w:rsidRPr="00482856">
        <w:rPr>
          <w:rFonts w:eastAsia="Times New Roman" w:cstheme="minorHAnsi"/>
          <w:sz w:val="24"/>
          <w:szCs w:val="24"/>
          <w:lang w:eastAsia="pl-PL"/>
        </w:rPr>
        <w:t>.”</w:t>
      </w:r>
      <w:r w:rsidR="00B632E3">
        <w:rPr>
          <w:rFonts w:eastAsia="Times New Roman" w:cstheme="minorHAnsi"/>
          <w:sz w:val="24"/>
          <w:szCs w:val="24"/>
          <w:lang w:eastAsia="pl-PL"/>
        </w:rPr>
        <w:t xml:space="preserve"> </w:t>
      </w:r>
      <w:r w:rsidRPr="00482856">
        <w:rPr>
          <w:rFonts w:eastAsia="Times New Roman" w:cstheme="minorHAnsi"/>
          <w:sz w:val="24"/>
          <w:szCs w:val="24"/>
          <w:lang w:eastAsia="pl-PL"/>
        </w:rPr>
        <w:t>Podkreśla dalej, że „</w:t>
      </w:r>
      <w:r w:rsidRPr="00482856">
        <w:rPr>
          <w:rFonts w:eastAsia="Times New Roman" w:cstheme="minorHAnsi"/>
          <w:i/>
          <w:iCs/>
          <w:sz w:val="24"/>
          <w:szCs w:val="24"/>
          <w:lang w:eastAsia="pl-PL"/>
        </w:rPr>
        <w:t>niedokonanie waloryzacji wynagrodzenia wykonawcy może nie tylko poważnie zachwiać równowagą ekonomiczną stron na niekorzyść wykonawcy, ale częstokroć może prowadzić do negatywnych konsekwencji dla zamawiającego, tj. do skutków mniej korzystnych niż stosowna zmiana umowy</w:t>
      </w:r>
      <w:r w:rsidRPr="00482856">
        <w:rPr>
          <w:rFonts w:eastAsia="Times New Roman" w:cstheme="minorHAnsi"/>
          <w:sz w:val="24"/>
          <w:szCs w:val="24"/>
          <w:lang w:eastAsia="pl-PL"/>
        </w:rPr>
        <w:t>.”</w:t>
      </w:r>
    </w:p>
    <w:p w14:paraId="249BB152" w14:textId="5DAF0689" w:rsidR="00A37BAC" w:rsidRDefault="00A37BAC" w:rsidP="00A37BAC">
      <w:pPr>
        <w:spacing w:after="70" w:line="360" w:lineRule="auto"/>
        <w:ind w:firstLine="708"/>
        <w:jc w:val="both"/>
        <w:rPr>
          <w:rFonts w:asciiTheme="minorHAnsi" w:hAnsiTheme="minorHAnsi" w:cstheme="minorHAnsi"/>
          <w:sz w:val="24"/>
          <w:szCs w:val="24"/>
        </w:rPr>
      </w:pPr>
      <w:r w:rsidRPr="001E1F44">
        <w:rPr>
          <w:rFonts w:asciiTheme="minorHAnsi" w:hAnsiTheme="minorHAnsi" w:cstheme="minorHAnsi"/>
          <w:sz w:val="24"/>
          <w:szCs w:val="24"/>
        </w:rPr>
        <w:t>Mając na wzglę</w:t>
      </w:r>
      <w:r>
        <w:rPr>
          <w:rFonts w:asciiTheme="minorHAnsi" w:hAnsiTheme="minorHAnsi" w:cstheme="minorHAnsi"/>
          <w:sz w:val="24"/>
          <w:szCs w:val="24"/>
        </w:rPr>
        <w:t>dzie powyższe, uprzejmie proszę</w:t>
      </w:r>
      <w:r w:rsidRPr="001E1F44">
        <w:rPr>
          <w:rFonts w:asciiTheme="minorHAnsi" w:hAnsiTheme="minorHAnsi" w:cstheme="minorHAnsi"/>
          <w:sz w:val="24"/>
          <w:szCs w:val="24"/>
        </w:rPr>
        <w:t xml:space="preserve"> </w:t>
      </w:r>
      <w:r w:rsidR="00B632E3">
        <w:rPr>
          <w:rFonts w:asciiTheme="minorHAnsi" w:hAnsiTheme="minorHAnsi" w:cstheme="minorHAnsi"/>
          <w:sz w:val="24"/>
          <w:szCs w:val="24"/>
        </w:rPr>
        <w:t xml:space="preserve">o merytoryczną i </w:t>
      </w:r>
      <w:r w:rsidR="005C3D52">
        <w:rPr>
          <w:rFonts w:asciiTheme="minorHAnsi" w:hAnsiTheme="minorHAnsi" w:cstheme="minorHAnsi"/>
          <w:sz w:val="24"/>
          <w:szCs w:val="24"/>
        </w:rPr>
        <w:t>konstruktywną współpracę</w:t>
      </w:r>
      <w:r w:rsidR="00B632E3">
        <w:rPr>
          <w:rFonts w:asciiTheme="minorHAnsi" w:hAnsiTheme="minorHAnsi" w:cstheme="minorHAnsi"/>
          <w:sz w:val="24"/>
          <w:szCs w:val="24"/>
        </w:rPr>
        <w:t xml:space="preserve"> w celu wypracowania p</w:t>
      </w:r>
      <w:r>
        <w:rPr>
          <w:rFonts w:asciiTheme="minorHAnsi" w:hAnsiTheme="minorHAnsi" w:cstheme="minorHAnsi"/>
          <w:sz w:val="24"/>
          <w:szCs w:val="24"/>
        </w:rPr>
        <w:t>orozumienia</w:t>
      </w:r>
      <w:r w:rsidR="00B632E3">
        <w:rPr>
          <w:rFonts w:asciiTheme="minorHAnsi" w:hAnsiTheme="minorHAnsi" w:cstheme="minorHAnsi"/>
          <w:sz w:val="24"/>
          <w:szCs w:val="24"/>
        </w:rPr>
        <w:t>, dzięki któremu</w:t>
      </w:r>
      <w:r>
        <w:rPr>
          <w:rFonts w:asciiTheme="minorHAnsi" w:hAnsiTheme="minorHAnsi" w:cstheme="minorHAnsi"/>
          <w:sz w:val="24"/>
          <w:szCs w:val="24"/>
        </w:rPr>
        <w:t xml:space="preserve"> będziemy mogli kontynuować </w:t>
      </w:r>
      <w:r w:rsidR="00B632E3">
        <w:rPr>
          <w:rFonts w:asciiTheme="minorHAnsi" w:hAnsiTheme="minorHAnsi" w:cstheme="minorHAnsi"/>
          <w:sz w:val="24"/>
          <w:szCs w:val="24"/>
        </w:rPr>
        <w:t>realizację umowy,</w:t>
      </w:r>
      <w:r>
        <w:rPr>
          <w:rFonts w:asciiTheme="minorHAnsi" w:hAnsiTheme="minorHAnsi" w:cstheme="minorHAnsi"/>
          <w:sz w:val="24"/>
          <w:szCs w:val="24"/>
        </w:rPr>
        <w:t xml:space="preserve"> opartą na partnerskich </w:t>
      </w:r>
      <w:r w:rsidR="00B632E3">
        <w:rPr>
          <w:rFonts w:asciiTheme="minorHAnsi" w:hAnsiTheme="minorHAnsi" w:cstheme="minorHAnsi"/>
          <w:sz w:val="24"/>
          <w:szCs w:val="24"/>
        </w:rPr>
        <w:t>zasadach</w:t>
      </w:r>
      <w:r w:rsidRPr="001E1F44">
        <w:rPr>
          <w:rFonts w:asciiTheme="minorHAnsi" w:hAnsiTheme="minorHAnsi" w:cstheme="minorHAnsi"/>
          <w:sz w:val="24"/>
          <w:szCs w:val="24"/>
        </w:rPr>
        <w:t xml:space="preserve">. </w:t>
      </w:r>
    </w:p>
    <w:p w14:paraId="6AC8C029" w14:textId="77777777" w:rsidR="00CA577E" w:rsidRDefault="00CA577E" w:rsidP="00871EC7">
      <w:pPr>
        <w:spacing w:after="70" w:line="360" w:lineRule="auto"/>
        <w:jc w:val="both"/>
        <w:rPr>
          <w:rFonts w:asciiTheme="minorHAnsi" w:hAnsiTheme="minorHAnsi" w:cstheme="minorHAnsi"/>
          <w:sz w:val="24"/>
          <w:szCs w:val="24"/>
        </w:rPr>
      </w:pPr>
    </w:p>
    <w:p w14:paraId="402EBB67" w14:textId="77777777" w:rsidR="00A37BAC" w:rsidRPr="001E1F44" w:rsidRDefault="00A37BAC" w:rsidP="00A37BAC">
      <w:pPr>
        <w:spacing w:before="120" w:after="0"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E1F44">
        <w:rPr>
          <w:rFonts w:asciiTheme="minorHAnsi" w:hAnsiTheme="minorHAnsi" w:cstheme="minorHAnsi"/>
          <w:sz w:val="24"/>
          <w:szCs w:val="24"/>
        </w:rPr>
        <w:t xml:space="preserve">                             </w:t>
      </w:r>
    </w:p>
    <w:p w14:paraId="5BD83DA7" w14:textId="77777777" w:rsidR="00A37BAC" w:rsidRPr="001E1F44" w:rsidRDefault="00A37BAC" w:rsidP="00A37BAC">
      <w:pPr>
        <w:spacing w:before="120" w:after="0" w:line="360" w:lineRule="auto"/>
        <w:ind w:left="4956" w:firstLine="708"/>
        <w:jc w:val="both"/>
        <w:rPr>
          <w:rFonts w:asciiTheme="minorHAnsi" w:hAnsiTheme="minorHAnsi" w:cstheme="minorHAnsi"/>
          <w:sz w:val="24"/>
          <w:szCs w:val="24"/>
        </w:rPr>
      </w:pPr>
      <w:r w:rsidRPr="001E1F44">
        <w:rPr>
          <w:rFonts w:asciiTheme="minorHAnsi" w:hAnsiTheme="minorHAnsi" w:cstheme="minorHAnsi"/>
          <w:sz w:val="24"/>
          <w:szCs w:val="24"/>
        </w:rPr>
        <w:t>Z poważaniem</w:t>
      </w:r>
    </w:p>
    <w:p w14:paraId="11C20457" w14:textId="77777777" w:rsidR="00A37BAC" w:rsidRPr="001E1F44" w:rsidRDefault="00A37BAC" w:rsidP="00A37BAC">
      <w:pPr>
        <w:spacing w:before="120" w:after="0"/>
        <w:jc w:val="both"/>
        <w:rPr>
          <w:rFonts w:asciiTheme="minorHAnsi" w:hAnsiTheme="minorHAnsi" w:cstheme="minorHAnsi"/>
          <w:sz w:val="24"/>
          <w:szCs w:val="24"/>
        </w:rPr>
      </w:pPr>
    </w:p>
    <w:p w14:paraId="5B2D3AD2" w14:textId="77777777" w:rsidR="00F908D1" w:rsidRDefault="00F908D1" w:rsidP="00F908D1">
      <w:pPr>
        <w:spacing w:before="120" w:after="0"/>
        <w:jc w:val="both"/>
        <w:rPr>
          <w:rFonts w:asciiTheme="minorHAnsi" w:hAnsiTheme="minorHAnsi" w:cstheme="minorHAnsi"/>
          <w:sz w:val="24"/>
          <w:szCs w:val="24"/>
        </w:rPr>
      </w:pPr>
    </w:p>
    <w:p w14:paraId="462A4D1F" w14:textId="77777777" w:rsidR="000574F0" w:rsidRDefault="000574F0" w:rsidP="00F908D1">
      <w:pPr>
        <w:spacing w:before="120" w:after="0"/>
        <w:jc w:val="both"/>
        <w:rPr>
          <w:rFonts w:asciiTheme="minorHAnsi" w:hAnsiTheme="minorHAnsi" w:cstheme="minorHAnsi"/>
          <w:sz w:val="24"/>
          <w:szCs w:val="24"/>
        </w:rPr>
      </w:pPr>
    </w:p>
    <w:p w14:paraId="51045035" w14:textId="77777777" w:rsidR="000574F0" w:rsidRDefault="000574F0" w:rsidP="00F908D1">
      <w:pPr>
        <w:spacing w:before="120" w:after="0"/>
        <w:jc w:val="both"/>
        <w:rPr>
          <w:rFonts w:asciiTheme="minorHAnsi" w:hAnsiTheme="minorHAnsi" w:cstheme="minorHAnsi"/>
          <w:sz w:val="24"/>
          <w:szCs w:val="24"/>
        </w:rPr>
      </w:pPr>
    </w:p>
    <w:p w14:paraId="04C52131" w14:textId="6E52FB31" w:rsidR="007B7238" w:rsidRPr="000574F0" w:rsidRDefault="007B7238" w:rsidP="00F908D1">
      <w:pPr>
        <w:spacing w:before="120" w:after="0"/>
        <w:jc w:val="both"/>
        <w:rPr>
          <w:rFonts w:asciiTheme="minorHAnsi" w:hAnsiTheme="minorHAnsi" w:cstheme="minorHAnsi"/>
          <w:sz w:val="20"/>
          <w:szCs w:val="20"/>
        </w:rPr>
      </w:pPr>
      <w:r w:rsidRPr="000574F0">
        <w:rPr>
          <w:rFonts w:asciiTheme="minorHAnsi" w:hAnsiTheme="minorHAnsi" w:cstheme="minorHAnsi"/>
          <w:sz w:val="20"/>
          <w:szCs w:val="20"/>
        </w:rPr>
        <w:t>Załącznik:</w:t>
      </w:r>
    </w:p>
    <w:p w14:paraId="1C6D34E8" w14:textId="03B0A0EA" w:rsidR="007B7238" w:rsidRPr="000574F0" w:rsidRDefault="000574F0" w:rsidP="007B7238">
      <w:pPr>
        <w:pStyle w:val="Akapitzlist"/>
        <w:numPr>
          <w:ilvl w:val="0"/>
          <w:numId w:val="4"/>
        </w:numPr>
        <w:spacing w:before="120" w:after="0"/>
        <w:jc w:val="both"/>
        <w:rPr>
          <w:rFonts w:asciiTheme="minorHAnsi" w:hAnsiTheme="minorHAnsi" w:cstheme="minorHAnsi"/>
          <w:sz w:val="20"/>
          <w:szCs w:val="20"/>
        </w:rPr>
      </w:pPr>
      <w:r w:rsidRPr="000574F0">
        <w:rPr>
          <w:rFonts w:asciiTheme="minorHAnsi" w:hAnsiTheme="minorHAnsi" w:cstheme="minorHAnsi"/>
          <w:sz w:val="20"/>
          <w:szCs w:val="20"/>
        </w:rPr>
        <w:t>P</w:t>
      </w:r>
      <w:r w:rsidR="007B7238" w:rsidRPr="000574F0">
        <w:rPr>
          <w:rFonts w:asciiTheme="minorHAnsi" w:hAnsiTheme="minorHAnsi" w:cstheme="minorHAnsi"/>
          <w:sz w:val="20"/>
          <w:szCs w:val="20"/>
        </w:rPr>
        <w:t>roponowan</w:t>
      </w:r>
      <w:r w:rsidRPr="000574F0">
        <w:rPr>
          <w:rFonts w:asciiTheme="minorHAnsi" w:hAnsiTheme="minorHAnsi" w:cstheme="minorHAnsi"/>
          <w:sz w:val="20"/>
          <w:szCs w:val="20"/>
        </w:rPr>
        <w:t>a treść aneksu do umowy</w:t>
      </w:r>
      <w:r>
        <w:rPr>
          <w:rFonts w:asciiTheme="minorHAnsi" w:hAnsiTheme="minorHAnsi" w:cstheme="minorHAnsi"/>
          <w:sz w:val="20"/>
          <w:szCs w:val="20"/>
        </w:rPr>
        <w:t xml:space="preserve"> – 2 egz.</w:t>
      </w:r>
    </w:p>
    <w:p w14:paraId="7136737C" w14:textId="77777777" w:rsidR="00320361" w:rsidRDefault="00320361"/>
    <w:sectPr w:rsidR="00320361" w:rsidSect="00F908D1">
      <w:pgSz w:w="11906" w:h="16838" w:code="9"/>
      <w:pgMar w:top="1417" w:right="1417" w:bottom="1417" w:left="1417" w:header="156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EE93664" w14:textId="77777777" w:rsidR="00892437" w:rsidRDefault="00892437" w:rsidP="007A052A">
      <w:pPr>
        <w:pStyle w:val="Tekstkomentarza"/>
      </w:pPr>
      <w:r>
        <w:rPr>
          <w:rStyle w:val="Odwoaniedokomentarza"/>
        </w:rPr>
        <w:annotationRef/>
      </w:r>
      <w:r>
        <w:t>TYLKO dla umów zawartych na podstawie przetargów ogłoszonych przed 10.11.2022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93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93664" w16cid:durableId="59FA22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BBEE" w14:textId="77777777" w:rsidR="00E53FB6" w:rsidRDefault="00E53FB6" w:rsidP="00320361">
      <w:pPr>
        <w:spacing w:after="0" w:line="240" w:lineRule="auto"/>
      </w:pPr>
      <w:r>
        <w:separator/>
      </w:r>
    </w:p>
  </w:endnote>
  <w:endnote w:type="continuationSeparator" w:id="0">
    <w:p w14:paraId="4FF1C963" w14:textId="77777777" w:rsidR="00E53FB6" w:rsidRDefault="00E53FB6" w:rsidP="0032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3AE3" w14:textId="77777777" w:rsidR="00E53FB6" w:rsidRDefault="00E53FB6" w:rsidP="00320361">
      <w:pPr>
        <w:spacing w:after="0" w:line="240" w:lineRule="auto"/>
      </w:pPr>
      <w:r>
        <w:separator/>
      </w:r>
    </w:p>
  </w:footnote>
  <w:footnote w:type="continuationSeparator" w:id="0">
    <w:p w14:paraId="4D228891" w14:textId="77777777" w:rsidR="00E53FB6" w:rsidRDefault="00E53FB6" w:rsidP="00320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6C2B069F"/>
    <w:multiLevelType w:val="hybridMultilevel"/>
    <w:tmpl w:val="FCB2C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16cid:durableId="5200457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61"/>
    <w:rsid w:val="0002656A"/>
    <w:rsid w:val="00052398"/>
    <w:rsid w:val="000574F0"/>
    <w:rsid w:val="0006086A"/>
    <w:rsid w:val="000654D2"/>
    <w:rsid w:val="00070540"/>
    <w:rsid w:val="000A580E"/>
    <w:rsid w:val="000B7002"/>
    <w:rsid w:val="000D6348"/>
    <w:rsid w:val="000F73D1"/>
    <w:rsid w:val="00106932"/>
    <w:rsid w:val="00111182"/>
    <w:rsid w:val="00130F8B"/>
    <w:rsid w:val="00131238"/>
    <w:rsid w:val="0013606B"/>
    <w:rsid w:val="00144940"/>
    <w:rsid w:val="00144DE0"/>
    <w:rsid w:val="00167601"/>
    <w:rsid w:val="001835D5"/>
    <w:rsid w:val="00183A01"/>
    <w:rsid w:val="002023B0"/>
    <w:rsid w:val="002179C9"/>
    <w:rsid w:val="00262E6B"/>
    <w:rsid w:val="0026639D"/>
    <w:rsid w:val="0026644B"/>
    <w:rsid w:val="0029278F"/>
    <w:rsid w:val="002A55CA"/>
    <w:rsid w:val="00303735"/>
    <w:rsid w:val="00304D69"/>
    <w:rsid w:val="00320361"/>
    <w:rsid w:val="0032786F"/>
    <w:rsid w:val="0034748C"/>
    <w:rsid w:val="00370D04"/>
    <w:rsid w:val="00374B69"/>
    <w:rsid w:val="00391220"/>
    <w:rsid w:val="003B0657"/>
    <w:rsid w:val="003D2481"/>
    <w:rsid w:val="003D4449"/>
    <w:rsid w:val="003E3588"/>
    <w:rsid w:val="00421DEA"/>
    <w:rsid w:val="0043608F"/>
    <w:rsid w:val="00441D33"/>
    <w:rsid w:val="0047206C"/>
    <w:rsid w:val="00482856"/>
    <w:rsid w:val="00487629"/>
    <w:rsid w:val="004A0F1B"/>
    <w:rsid w:val="004C3DDE"/>
    <w:rsid w:val="004C7779"/>
    <w:rsid w:val="004D65F2"/>
    <w:rsid w:val="004E32B9"/>
    <w:rsid w:val="004F1CDC"/>
    <w:rsid w:val="00531530"/>
    <w:rsid w:val="005366C4"/>
    <w:rsid w:val="0054103B"/>
    <w:rsid w:val="00584B9B"/>
    <w:rsid w:val="005A5753"/>
    <w:rsid w:val="005A7FD3"/>
    <w:rsid w:val="005C3D52"/>
    <w:rsid w:val="005E0313"/>
    <w:rsid w:val="005E0B78"/>
    <w:rsid w:val="005F2121"/>
    <w:rsid w:val="00660E4A"/>
    <w:rsid w:val="00666D35"/>
    <w:rsid w:val="00670460"/>
    <w:rsid w:val="006714CC"/>
    <w:rsid w:val="00695A58"/>
    <w:rsid w:val="006A5B2A"/>
    <w:rsid w:val="006B4496"/>
    <w:rsid w:val="006C3998"/>
    <w:rsid w:val="006C7110"/>
    <w:rsid w:val="006D2041"/>
    <w:rsid w:val="006E61D2"/>
    <w:rsid w:val="007045EC"/>
    <w:rsid w:val="00737041"/>
    <w:rsid w:val="0074114E"/>
    <w:rsid w:val="007572D2"/>
    <w:rsid w:val="007A64B3"/>
    <w:rsid w:val="007B0410"/>
    <w:rsid w:val="007B7238"/>
    <w:rsid w:val="007C5850"/>
    <w:rsid w:val="007E6F60"/>
    <w:rsid w:val="007E7E7C"/>
    <w:rsid w:val="0080729A"/>
    <w:rsid w:val="008077CB"/>
    <w:rsid w:val="00826DAF"/>
    <w:rsid w:val="00871EC7"/>
    <w:rsid w:val="008845A8"/>
    <w:rsid w:val="00892437"/>
    <w:rsid w:val="008A09F2"/>
    <w:rsid w:val="008C2D81"/>
    <w:rsid w:val="008F14B9"/>
    <w:rsid w:val="008F33D3"/>
    <w:rsid w:val="00900239"/>
    <w:rsid w:val="009143A6"/>
    <w:rsid w:val="009145F0"/>
    <w:rsid w:val="00920A7E"/>
    <w:rsid w:val="00955760"/>
    <w:rsid w:val="00962A56"/>
    <w:rsid w:val="009652E7"/>
    <w:rsid w:val="009712D8"/>
    <w:rsid w:val="009823F3"/>
    <w:rsid w:val="00991FB0"/>
    <w:rsid w:val="009C4AB8"/>
    <w:rsid w:val="00A01F57"/>
    <w:rsid w:val="00A24CE9"/>
    <w:rsid w:val="00A37BAC"/>
    <w:rsid w:val="00A4091E"/>
    <w:rsid w:val="00A40C91"/>
    <w:rsid w:val="00A50EE6"/>
    <w:rsid w:val="00A51DD5"/>
    <w:rsid w:val="00A53A33"/>
    <w:rsid w:val="00AC40BE"/>
    <w:rsid w:val="00AC543E"/>
    <w:rsid w:val="00AC5AE8"/>
    <w:rsid w:val="00AD06A7"/>
    <w:rsid w:val="00AE54EE"/>
    <w:rsid w:val="00B1615E"/>
    <w:rsid w:val="00B24E6A"/>
    <w:rsid w:val="00B272C3"/>
    <w:rsid w:val="00B521E4"/>
    <w:rsid w:val="00B632E3"/>
    <w:rsid w:val="00B80D61"/>
    <w:rsid w:val="00B84D8A"/>
    <w:rsid w:val="00BA2539"/>
    <w:rsid w:val="00BB5914"/>
    <w:rsid w:val="00BC442E"/>
    <w:rsid w:val="00BF01A1"/>
    <w:rsid w:val="00BF2C22"/>
    <w:rsid w:val="00BF59AD"/>
    <w:rsid w:val="00C012CA"/>
    <w:rsid w:val="00C01711"/>
    <w:rsid w:val="00C06A46"/>
    <w:rsid w:val="00C109C8"/>
    <w:rsid w:val="00C51EC6"/>
    <w:rsid w:val="00C566D6"/>
    <w:rsid w:val="00C61D41"/>
    <w:rsid w:val="00C70217"/>
    <w:rsid w:val="00CA577E"/>
    <w:rsid w:val="00CB2622"/>
    <w:rsid w:val="00CB5252"/>
    <w:rsid w:val="00CE4F38"/>
    <w:rsid w:val="00D11258"/>
    <w:rsid w:val="00D3048F"/>
    <w:rsid w:val="00D30AF2"/>
    <w:rsid w:val="00D41B55"/>
    <w:rsid w:val="00D67629"/>
    <w:rsid w:val="00D90A86"/>
    <w:rsid w:val="00D943BA"/>
    <w:rsid w:val="00DC3466"/>
    <w:rsid w:val="00DC3C3C"/>
    <w:rsid w:val="00DD664D"/>
    <w:rsid w:val="00DE1587"/>
    <w:rsid w:val="00DE55B7"/>
    <w:rsid w:val="00DF157C"/>
    <w:rsid w:val="00E26794"/>
    <w:rsid w:val="00E27C30"/>
    <w:rsid w:val="00E30FB2"/>
    <w:rsid w:val="00E33285"/>
    <w:rsid w:val="00E53FB6"/>
    <w:rsid w:val="00E57D3C"/>
    <w:rsid w:val="00E87463"/>
    <w:rsid w:val="00EB4615"/>
    <w:rsid w:val="00EC6893"/>
    <w:rsid w:val="00F05EDD"/>
    <w:rsid w:val="00F15230"/>
    <w:rsid w:val="00F54760"/>
    <w:rsid w:val="00F628C9"/>
    <w:rsid w:val="00F81E6E"/>
    <w:rsid w:val="00F908D1"/>
    <w:rsid w:val="00F96A8F"/>
    <w:rsid w:val="00FA665B"/>
    <w:rsid w:val="00FC090E"/>
    <w:rsid w:val="00FE0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8D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03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361"/>
  </w:style>
  <w:style w:type="paragraph" w:styleId="Stopka">
    <w:name w:val="footer"/>
    <w:basedOn w:val="Normalny"/>
    <w:link w:val="StopkaZnak"/>
    <w:uiPriority w:val="99"/>
    <w:unhideWhenUsed/>
    <w:rsid w:val="003203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0361"/>
  </w:style>
  <w:style w:type="character" w:styleId="Hipercze">
    <w:name w:val="Hyperlink"/>
    <w:basedOn w:val="Domylnaczcionkaakapitu"/>
    <w:uiPriority w:val="99"/>
    <w:unhideWhenUsed/>
    <w:rsid w:val="00320361"/>
    <w:rPr>
      <w:color w:val="0563C1" w:themeColor="hyperlink"/>
      <w:u w:val="single"/>
    </w:rPr>
  </w:style>
  <w:style w:type="character" w:customStyle="1" w:styleId="Nierozpoznanawzmianka1">
    <w:name w:val="Nierozpoznana wzmianka1"/>
    <w:basedOn w:val="Domylnaczcionkaakapitu"/>
    <w:uiPriority w:val="99"/>
    <w:semiHidden/>
    <w:unhideWhenUsed/>
    <w:rsid w:val="00320361"/>
    <w:rPr>
      <w:color w:val="605E5C"/>
      <w:shd w:val="clear" w:color="auto" w:fill="E1DFDD"/>
    </w:rPr>
  </w:style>
  <w:style w:type="paragraph" w:styleId="Tekstdymka">
    <w:name w:val="Balloon Text"/>
    <w:basedOn w:val="Normalny"/>
    <w:link w:val="TekstdymkaZnak"/>
    <w:uiPriority w:val="99"/>
    <w:semiHidden/>
    <w:unhideWhenUsed/>
    <w:rsid w:val="00982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23F3"/>
    <w:rPr>
      <w:rFonts w:ascii="Tahoma" w:hAnsi="Tahoma" w:cs="Tahoma"/>
      <w:sz w:val="16"/>
      <w:szCs w:val="16"/>
    </w:rPr>
  </w:style>
  <w:style w:type="table" w:styleId="Tabela-Siatka">
    <w:name w:val="Table Grid"/>
    <w:basedOn w:val="Standardowy"/>
    <w:uiPriority w:val="39"/>
    <w:rsid w:val="007B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F1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157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157C"/>
    <w:rPr>
      <w:vertAlign w:val="superscript"/>
    </w:rPr>
  </w:style>
  <w:style w:type="character" w:styleId="Odwoaniedokomentarza">
    <w:name w:val="annotation reference"/>
    <w:basedOn w:val="Domylnaczcionkaakapitu"/>
    <w:uiPriority w:val="99"/>
    <w:semiHidden/>
    <w:unhideWhenUsed/>
    <w:rsid w:val="00892437"/>
    <w:rPr>
      <w:sz w:val="16"/>
      <w:szCs w:val="16"/>
    </w:rPr>
  </w:style>
  <w:style w:type="paragraph" w:styleId="Tekstkomentarza">
    <w:name w:val="annotation text"/>
    <w:basedOn w:val="Normalny"/>
    <w:link w:val="TekstkomentarzaZnak"/>
    <w:uiPriority w:val="99"/>
    <w:unhideWhenUsed/>
    <w:rsid w:val="00892437"/>
    <w:pPr>
      <w:spacing w:line="240" w:lineRule="auto"/>
    </w:pPr>
    <w:rPr>
      <w:sz w:val="20"/>
      <w:szCs w:val="20"/>
    </w:rPr>
  </w:style>
  <w:style w:type="character" w:customStyle="1" w:styleId="TekstkomentarzaZnak">
    <w:name w:val="Tekst komentarza Znak"/>
    <w:basedOn w:val="Domylnaczcionkaakapitu"/>
    <w:link w:val="Tekstkomentarza"/>
    <w:uiPriority w:val="99"/>
    <w:rsid w:val="0089243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92437"/>
    <w:rPr>
      <w:b/>
      <w:bCs/>
    </w:rPr>
  </w:style>
  <w:style w:type="character" w:customStyle="1" w:styleId="TematkomentarzaZnak">
    <w:name w:val="Temat komentarza Znak"/>
    <w:basedOn w:val="TekstkomentarzaZnak"/>
    <w:link w:val="Tematkomentarza"/>
    <w:uiPriority w:val="99"/>
    <w:semiHidden/>
    <w:rsid w:val="00892437"/>
    <w:rPr>
      <w:rFonts w:ascii="Calibri" w:eastAsia="Calibri" w:hAnsi="Calibri" w:cs="Times New Roman"/>
      <w:b/>
      <w:bCs/>
      <w:sz w:val="20"/>
      <w:szCs w:val="20"/>
    </w:rPr>
  </w:style>
  <w:style w:type="paragraph" w:styleId="Poprawka">
    <w:name w:val="Revision"/>
    <w:hidden/>
    <w:uiPriority w:val="99"/>
    <w:semiHidden/>
    <w:rsid w:val="00AC40BE"/>
    <w:pPr>
      <w:spacing w:after="0" w:line="240" w:lineRule="auto"/>
    </w:pPr>
    <w:rPr>
      <w:rFonts w:ascii="Calibri" w:eastAsia="Calibri" w:hAnsi="Calibri" w:cs="Times New Roman"/>
    </w:rPr>
  </w:style>
  <w:style w:type="paragraph" w:styleId="Akapitzlist">
    <w:name w:val="List Paragraph"/>
    <w:basedOn w:val="Normalny"/>
    <w:uiPriority w:val="34"/>
    <w:qFormat/>
    <w:rsid w:val="007B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5502-655B-49C6-9DEB-5D479316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5484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2023-11-07T12:27:00Z</dcterms:created>
  <dcterms:modified xsi:type="dcterms:W3CDTF">2023-11-07T12:57:00Z</dcterms:modified>
</cp:coreProperties>
</file>